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C3B8D" w14:textId="6C362309" w:rsidR="00001CC3" w:rsidRDefault="003B3E68">
      <w:pPr>
        <w:pStyle w:val="af"/>
        <w:rPr>
          <w:rFonts w:eastAsia="宋体"/>
          <w:sz w:val="24"/>
          <w:szCs w:val="24"/>
          <w:lang w:val="en-US" w:eastAsia="zh-CN"/>
        </w:rPr>
      </w:pPr>
      <w:bookmarkStart w:id="0" w:name="_Toc193024528"/>
      <w:r>
        <w:rPr>
          <w:sz w:val="24"/>
          <w:szCs w:val="24"/>
        </w:rPr>
        <w:t>3GPP TSG-RAN WG2 Meeting #1</w:t>
      </w:r>
      <w:r>
        <w:rPr>
          <w:rFonts w:eastAsia="宋体" w:hint="eastAsia"/>
          <w:sz w:val="24"/>
          <w:szCs w:val="24"/>
          <w:lang w:val="en-US" w:eastAsia="zh-CN"/>
        </w:rPr>
        <w:t>2</w:t>
      </w:r>
      <w:r w:rsidR="001740A4">
        <w:rPr>
          <w:rFonts w:eastAsia="宋体"/>
          <w:sz w:val="24"/>
          <w:szCs w:val="24"/>
          <w:lang w:val="en-US" w:eastAsia="zh-CN"/>
        </w:rPr>
        <w:t>1</w:t>
      </w:r>
      <w:r>
        <w:rPr>
          <w:rFonts w:eastAsia="宋体" w:hint="eastAsia"/>
          <w:sz w:val="24"/>
          <w:szCs w:val="24"/>
          <w:lang w:val="en-US" w:eastAsia="zh-CN"/>
        </w:rPr>
        <w:t xml:space="preserve">                       </w:t>
      </w:r>
      <w:r>
        <w:rPr>
          <w:rFonts w:eastAsia="宋体" w:hint="eastAsia"/>
          <w:sz w:val="24"/>
          <w:szCs w:val="24"/>
          <w:lang w:eastAsia="zh-CN"/>
        </w:rPr>
        <w:t xml:space="preserve">                                        </w:t>
      </w:r>
      <w:r>
        <w:rPr>
          <w:sz w:val="24"/>
          <w:szCs w:val="24"/>
        </w:rPr>
        <w:t>R2-</w:t>
      </w:r>
      <w:r w:rsidR="00436347">
        <w:rPr>
          <w:rFonts w:eastAsia="宋体" w:hint="eastAsia"/>
          <w:sz w:val="24"/>
          <w:szCs w:val="24"/>
          <w:lang w:val="en-US" w:eastAsia="zh-CN"/>
        </w:rPr>
        <w:t>2</w:t>
      </w:r>
      <w:r w:rsidR="00436347">
        <w:rPr>
          <w:rFonts w:eastAsia="宋体"/>
          <w:sz w:val="24"/>
          <w:szCs w:val="24"/>
          <w:lang w:val="en-US" w:eastAsia="zh-CN"/>
        </w:rPr>
        <w:t>301078</w:t>
      </w:r>
    </w:p>
    <w:p w14:paraId="7199B99C" w14:textId="77777777" w:rsidR="001740A4" w:rsidRDefault="001740A4" w:rsidP="001740A4">
      <w:pPr>
        <w:overflowPunct w:val="0"/>
        <w:autoSpaceDE w:val="0"/>
        <w:jc w:val="both"/>
        <w:textAlignment w:val="baseline"/>
        <w:rPr>
          <w:rFonts w:ascii="Arial" w:hAnsi="Arial" w:cs="Arial"/>
          <w:b/>
          <w:bCs/>
          <w:sz w:val="24"/>
          <w:szCs w:val="24"/>
          <w:lang w:val="en-US" w:eastAsia="zh-CN"/>
        </w:rPr>
      </w:pPr>
      <w:r>
        <w:rPr>
          <w:rFonts w:ascii="Arial" w:eastAsia="Calibri" w:hAnsi="Arial" w:cs="Arial"/>
          <w:b/>
          <w:bCs/>
          <w:sz w:val="24"/>
          <w:szCs w:val="24"/>
        </w:rPr>
        <w:t>27</w:t>
      </w:r>
      <w:r>
        <w:rPr>
          <w:rFonts w:ascii="Arial" w:eastAsia="Calibri" w:hAnsi="Arial" w:cs="Arial"/>
          <w:b/>
          <w:bCs/>
          <w:sz w:val="24"/>
          <w:szCs w:val="24"/>
          <w:vertAlign w:val="superscript"/>
        </w:rPr>
        <w:t>th</w:t>
      </w:r>
      <w:r>
        <w:rPr>
          <w:rFonts w:ascii="Arial" w:eastAsia="Calibri" w:hAnsi="Arial" w:cs="Arial"/>
          <w:b/>
          <w:bCs/>
          <w:sz w:val="24"/>
          <w:szCs w:val="24"/>
        </w:rPr>
        <w:t xml:space="preserve"> February– 3</w:t>
      </w:r>
      <w:r>
        <w:rPr>
          <w:rFonts w:ascii="Arial" w:eastAsia="Calibri" w:hAnsi="Arial" w:cs="Arial"/>
          <w:b/>
          <w:bCs/>
          <w:sz w:val="24"/>
          <w:szCs w:val="24"/>
          <w:vertAlign w:val="superscript"/>
        </w:rPr>
        <w:t>th</w:t>
      </w:r>
      <w:r>
        <w:rPr>
          <w:rFonts w:ascii="Arial" w:eastAsia="Calibri" w:hAnsi="Arial" w:cs="Arial"/>
          <w:b/>
          <w:bCs/>
          <w:sz w:val="24"/>
          <w:szCs w:val="24"/>
        </w:rPr>
        <w:t xml:space="preserve"> March 2023</w:t>
      </w:r>
      <w:r>
        <w:rPr>
          <w:rFonts w:ascii="Arial" w:hAnsi="Arial" w:cs="Arial" w:hint="eastAsia"/>
          <w:b/>
          <w:bCs/>
          <w:sz w:val="24"/>
          <w:szCs w:val="24"/>
          <w:lang w:val="en-US" w:eastAsia="zh-CN"/>
        </w:rPr>
        <w:t xml:space="preserve"> </w:t>
      </w:r>
    </w:p>
    <w:p w14:paraId="28B571B5" w14:textId="66087E60" w:rsidR="00001CC3" w:rsidRDefault="00436347" w:rsidP="001740A4">
      <w:pPr>
        <w:pStyle w:val="af"/>
        <w:tabs>
          <w:tab w:val="left" w:pos="1701"/>
          <w:tab w:val="right" w:pos="9923"/>
        </w:tabs>
        <w:rPr>
          <w:sz w:val="24"/>
          <w:szCs w:val="24"/>
        </w:rPr>
      </w:pPr>
      <w:r w:rsidRPr="00023DF0">
        <w:rPr>
          <w:rFonts w:eastAsia="Calibri" w:cs="Arial"/>
          <w:bCs/>
          <w:sz w:val="24"/>
          <w:szCs w:val="24"/>
        </w:rPr>
        <w:t>Athens, Greece</w:t>
      </w:r>
    </w:p>
    <w:p w14:paraId="53D7EC4B" w14:textId="77777777" w:rsidR="00001CC3" w:rsidRDefault="00001CC3">
      <w:pPr>
        <w:pStyle w:val="ae"/>
        <w:jc w:val="both"/>
        <w:rPr>
          <w:rFonts w:eastAsia="宋体"/>
          <w:b w:val="0"/>
          <w:i w:val="0"/>
          <w:sz w:val="24"/>
          <w:lang w:eastAsia="zh-CN"/>
        </w:rPr>
      </w:pPr>
    </w:p>
    <w:p w14:paraId="1D90D449" w14:textId="77777777" w:rsidR="00001CC3" w:rsidRDefault="003B3E68">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Discussion on mobility enhancement</w:t>
      </w:r>
    </w:p>
    <w:p w14:paraId="582CC298" w14:textId="77777777" w:rsidR="00001CC3" w:rsidRDefault="003B3E68">
      <w:pPr>
        <w:tabs>
          <w:tab w:val="left" w:pos="1985"/>
        </w:tabs>
        <w:jc w:val="both"/>
        <w:rPr>
          <w:rStyle w:val="aff"/>
          <w:b/>
          <w:lang w:val="en-US" w:eastAsia="zh-CN"/>
        </w:rPr>
      </w:pPr>
      <w:r>
        <w:rPr>
          <w:rFonts w:ascii="Arial" w:hAnsi="Arial"/>
          <w:b/>
          <w:sz w:val="24"/>
          <w:lang w:val="fr-FR"/>
        </w:rPr>
        <w:t xml:space="preserve">Source: </w:t>
      </w:r>
      <w:r>
        <w:rPr>
          <w:rFonts w:ascii="Arial" w:hAnsi="Arial"/>
          <w:b/>
          <w:sz w:val="24"/>
          <w:lang w:val="fr-FR"/>
        </w:rPr>
        <w:tab/>
      </w:r>
      <w:r>
        <w:rPr>
          <w:rStyle w:val="aff"/>
          <w:rFonts w:hint="eastAsia"/>
          <w:b/>
          <w:lang w:val="fr-FR"/>
        </w:rPr>
        <w:t>ZTE</w:t>
      </w:r>
      <w:r>
        <w:rPr>
          <w:rStyle w:val="aff"/>
          <w:rFonts w:hint="eastAsia"/>
          <w:b/>
          <w:lang w:val="en-US" w:eastAsia="zh-CN"/>
        </w:rPr>
        <w:t xml:space="preserve">, </w:t>
      </w:r>
      <w:proofErr w:type="spellStart"/>
      <w:r>
        <w:rPr>
          <w:rStyle w:val="aff"/>
          <w:rFonts w:hint="eastAsia"/>
          <w:b/>
          <w:lang w:val="en-US" w:eastAsia="zh-CN"/>
        </w:rPr>
        <w:t>Sanechips</w:t>
      </w:r>
      <w:proofErr w:type="spellEnd"/>
    </w:p>
    <w:p w14:paraId="48322566" w14:textId="77777777" w:rsidR="00001CC3" w:rsidRDefault="003B3E68">
      <w:pPr>
        <w:tabs>
          <w:tab w:val="left" w:pos="1985"/>
        </w:tabs>
        <w:jc w:val="both"/>
        <w:rPr>
          <w:rStyle w:val="aff"/>
          <w:b/>
          <w:lang w:val="en-US"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8</w:t>
      </w:r>
      <w:r>
        <w:rPr>
          <w:rFonts w:ascii="Arial" w:hAnsi="Arial"/>
          <w:b/>
          <w:sz w:val="24"/>
          <w:lang w:val="pt-BR" w:eastAsia="zh-CN"/>
        </w:rPr>
        <w:t>.</w:t>
      </w:r>
      <w:r>
        <w:rPr>
          <w:rFonts w:ascii="Arial" w:hAnsi="Arial" w:hint="eastAsia"/>
          <w:b/>
          <w:sz w:val="24"/>
          <w:lang w:val="en-US" w:eastAsia="zh-CN"/>
        </w:rPr>
        <w:t>12</w:t>
      </w:r>
      <w:r>
        <w:rPr>
          <w:rFonts w:ascii="Arial" w:hAnsi="Arial"/>
          <w:b/>
          <w:sz w:val="24"/>
          <w:lang w:val="pt-BR" w:eastAsia="zh-CN"/>
        </w:rPr>
        <w:t>.</w:t>
      </w:r>
      <w:r>
        <w:rPr>
          <w:rFonts w:ascii="Arial" w:hAnsi="Arial" w:hint="eastAsia"/>
          <w:b/>
          <w:sz w:val="24"/>
          <w:lang w:val="en-US" w:eastAsia="zh-CN"/>
        </w:rPr>
        <w:t>2</w:t>
      </w:r>
    </w:p>
    <w:p w14:paraId="46D18E46" w14:textId="77777777" w:rsidR="00001CC3" w:rsidRDefault="003B3E68">
      <w:pPr>
        <w:tabs>
          <w:tab w:val="left" w:pos="1985"/>
        </w:tabs>
        <w:ind w:left="1980" w:hanging="1980"/>
        <w:jc w:val="both"/>
        <w:rPr>
          <w:rStyle w:val="aff"/>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Approval</w:t>
      </w:r>
    </w:p>
    <w:p w14:paraId="704BF38F" w14:textId="77777777" w:rsidR="00001CC3" w:rsidRDefault="003B3E68">
      <w:pPr>
        <w:pStyle w:val="1"/>
        <w:jc w:val="both"/>
        <w:rPr>
          <w:rFonts w:eastAsia="宋体"/>
          <w:lang w:eastAsia="zh-CN"/>
        </w:rPr>
      </w:pPr>
      <w:r>
        <w:rPr>
          <w:rFonts w:eastAsia="宋体" w:hint="eastAsia"/>
          <w:lang w:eastAsia="zh-CN"/>
        </w:rPr>
        <w:t>Introduction</w:t>
      </w:r>
    </w:p>
    <w:p w14:paraId="2CCBB6E0" w14:textId="51722C70" w:rsidR="00001CC3" w:rsidRDefault="003B3E68">
      <w:pPr>
        <w:spacing w:beforeLines="50" w:before="156"/>
        <w:jc w:val="both"/>
        <w:rPr>
          <w:lang w:val="en-US" w:eastAsia="zh-CN"/>
        </w:rPr>
      </w:pPr>
      <w:r>
        <w:rPr>
          <w:rFonts w:hint="eastAsia"/>
          <w:lang w:val="en-US" w:eastAsia="zh-CN"/>
        </w:rPr>
        <w:t>During RAN2#1</w:t>
      </w:r>
      <w:r w:rsidR="00B657CB">
        <w:rPr>
          <w:lang w:val="en-US" w:eastAsia="zh-CN"/>
        </w:rPr>
        <w:t>20</w:t>
      </w:r>
      <w:r>
        <w:rPr>
          <w:rFonts w:hint="eastAsia"/>
          <w:lang w:val="en-US" w:eastAsia="zh-CN"/>
        </w:rPr>
        <w:t xml:space="preserve"> meeting, the mobile IAB was discussed and the following agreements were reached. In this paper, we will focus on the remaining issues for mobile IAB and present our point of view. </w:t>
      </w:r>
    </w:p>
    <w:tbl>
      <w:tblPr>
        <w:tblStyle w:val="af4"/>
        <w:tblW w:w="0" w:type="auto"/>
        <w:tblLook w:val="04A0" w:firstRow="1" w:lastRow="0" w:firstColumn="1" w:lastColumn="0" w:noHBand="0" w:noVBand="1"/>
      </w:tblPr>
      <w:tblGrid>
        <w:gridCol w:w="9857"/>
      </w:tblGrid>
      <w:tr w:rsidR="00436347" w14:paraId="332E57A6" w14:textId="77777777" w:rsidTr="00436347">
        <w:tc>
          <w:tcPr>
            <w:tcW w:w="9857" w:type="dxa"/>
            <w:tcBorders>
              <w:top w:val="single" w:sz="4" w:space="0" w:color="auto"/>
              <w:left w:val="single" w:sz="4" w:space="0" w:color="auto"/>
              <w:bottom w:val="single" w:sz="4" w:space="0" w:color="auto"/>
              <w:right w:val="single" w:sz="4" w:space="0" w:color="auto"/>
            </w:tcBorders>
            <w:hideMark/>
          </w:tcPr>
          <w:p w14:paraId="088177A0" w14:textId="77777777" w:rsidR="00436347" w:rsidRDefault="00436347">
            <w:pPr>
              <w:ind w:right="200"/>
              <w:jc w:val="both"/>
              <w:rPr>
                <w:lang w:val="en-US" w:eastAsia="zh-CN"/>
              </w:rPr>
            </w:pPr>
            <w:r>
              <w:t>R2 assumes that It is up to RAN3 or SA2 to decide whether to support early mobile IAB indication in Msg5 because it depends whether donor CU needs to select an AMF supporting mobile IAB.</w:t>
            </w:r>
          </w:p>
          <w:p w14:paraId="69D6FC14" w14:textId="77777777" w:rsidR="00436347" w:rsidRDefault="00436347">
            <w:pPr>
              <w:ind w:right="200"/>
              <w:jc w:val="both"/>
            </w:pPr>
            <w:r>
              <w:t xml:space="preserve">R2 assumes that Donor CU can determine mobile IAB node's moving status via legacy reporting (e.g. mobility state and UE location / velocity specified in SON/MDT), i.e. R2 assumes enhanced / new reporting is not needed. </w:t>
            </w:r>
          </w:p>
          <w:p w14:paraId="77918BFD" w14:textId="77777777" w:rsidR="00436347" w:rsidRDefault="00436347">
            <w:pPr>
              <w:ind w:right="200"/>
            </w:pPr>
            <w:r>
              <w:t>A mobile IAB node may camp on and connect to legacy Rel-16/Rel-17 IAB capable cell.</w:t>
            </w:r>
          </w:p>
          <w:p w14:paraId="25B46B5D" w14:textId="77777777" w:rsidR="00436347" w:rsidRDefault="00436347">
            <w:pPr>
              <w:ind w:right="200"/>
            </w:pPr>
            <w:r>
              <w:t>R2 assumes "supporting mobile-IAB" indication is provided by Rel-18 Mobile IAB capable parent cell.</w:t>
            </w:r>
          </w:p>
          <w:p w14:paraId="15878B68" w14:textId="77777777" w:rsidR="00436347" w:rsidRDefault="00436347">
            <w:pPr>
              <w:ind w:right="200"/>
              <w:jc w:val="both"/>
            </w:pPr>
            <w:r>
              <w:rPr>
                <w:highlight w:val="yellow"/>
              </w:rPr>
              <w:t>Regarding the assumed mobile-IAB cell type indication, RAN2 assumes is may be specified if some related UE behaviour is specified.</w:t>
            </w:r>
            <w:r>
              <w:t xml:space="preserve"> </w:t>
            </w:r>
          </w:p>
          <w:p w14:paraId="0BFBC63D" w14:textId="77777777" w:rsidR="00436347" w:rsidRDefault="00436347">
            <w:pPr>
              <w:ind w:right="200"/>
              <w:jc w:val="both"/>
            </w:pPr>
            <w:r>
              <w:t xml:space="preserve">RAN2 assumes that PCI collision can be avoided, by reconfigurations, and this may be handled by RAN3. If RAN3 finds issues that RAN2 should work on then RAN2 can work. </w:t>
            </w:r>
            <w:proofErr w:type="gramStart"/>
            <w:r>
              <w:t>e.g</w:t>
            </w:r>
            <w:proofErr w:type="gramEnd"/>
            <w:r>
              <w:t>. based on LS.</w:t>
            </w:r>
          </w:p>
          <w:p w14:paraId="54F0C124" w14:textId="77777777" w:rsidR="00436347" w:rsidRDefault="00436347">
            <w:pPr>
              <w:ind w:right="200"/>
              <w:jc w:val="both"/>
            </w:pPr>
            <w:r>
              <w:t xml:space="preserve">RAN2 understands that RACH interference and collisions may be avoided by RACH configuration, and RACH configurations can e.g. be exchanged by </w:t>
            </w:r>
            <w:proofErr w:type="spellStart"/>
            <w:r>
              <w:t>Xn</w:t>
            </w:r>
            <w:proofErr w:type="spellEnd"/>
            <w:r>
              <w:t>, so RACH interference and collisions better be handled between RAN3 and RAN1, if needed.</w:t>
            </w:r>
          </w:p>
        </w:tc>
      </w:tr>
    </w:tbl>
    <w:p w14:paraId="3AF14A73" w14:textId="5CBEA39E" w:rsidR="00436347" w:rsidRPr="00436347" w:rsidRDefault="00436347" w:rsidP="00436347">
      <w:pPr>
        <w:spacing w:beforeLines="50" w:before="156"/>
        <w:jc w:val="both"/>
        <w:rPr>
          <w:lang w:eastAsia="zh-CN"/>
        </w:rPr>
      </w:pPr>
      <w:r>
        <w:rPr>
          <w:rFonts w:hint="eastAsia"/>
        </w:rPr>
        <w:t xml:space="preserve">As we can see, it is still not clear whether and what UE </w:t>
      </w:r>
      <w:proofErr w:type="spellStart"/>
      <w:r>
        <w:rPr>
          <w:rFonts w:hint="eastAsia"/>
        </w:rPr>
        <w:t>behavior</w:t>
      </w:r>
      <w:proofErr w:type="spellEnd"/>
      <w:r>
        <w:rPr>
          <w:rFonts w:hint="eastAsia"/>
        </w:rPr>
        <w:t xml:space="preserve"> upon receiving the mobile-IAB cell type indication should be specified. On the other hand, </w:t>
      </w:r>
      <w:r>
        <w:rPr>
          <w:rFonts w:eastAsia="Batang"/>
        </w:rPr>
        <w:t>RAN2 has received an LS from SA2</w:t>
      </w:r>
      <w:r>
        <w:rPr>
          <w:rFonts w:eastAsia="Batang" w:hint="eastAsia"/>
        </w:rPr>
        <w:t xml:space="preserve"> (R2-2300070) which informs that </w:t>
      </w:r>
      <w:r>
        <w:t xml:space="preserve">SA2 has reached conclusions for KI#7 in SA2 study related to control of UE access to MBSR using CAG function. </w:t>
      </w:r>
      <w:r>
        <w:rPr>
          <w:rFonts w:hint="eastAsia"/>
        </w:rPr>
        <w:t xml:space="preserve">In this paper, we will discuss the potential UE </w:t>
      </w:r>
      <w:proofErr w:type="spellStart"/>
      <w:r>
        <w:rPr>
          <w:rFonts w:hint="eastAsia"/>
        </w:rPr>
        <w:t>behavior</w:t>
      </w:r>
      <w:proofErr w:type="spellEnd"/>
      <w:r>
        <w:rPr>
          <w:rFonts w:hint="eastAsia"/>
        </w:rPr>
        <w:t xml:space="preserve"> upon receiving the mobile-IAB cell indication from mobile IAB cell and investigate the potential RAN2 impacts for UE access control of MBSR using CAG. </w:t>
      </w:r>
    </w:p>
    <w:p w14:paraId="08F04C5D" w14:textId="77777777" w:rsidR="00001CC3" w:rsidRDefault="003B3E68">
      <w:pPr>
        <w:pStyle w:val="1"/>
        <w:jc w:val="both"/>
        <w:rPr>
          <w:lang w:eastAsia="zh-CN"/>
        </w:rPr>
      </w:pPr>
      <w:r>
        <w:rPr>
          <w:rFonts w:eastAsia="宋体" w:hint="eastAsia"/>
          <w:lang w:eastAsia="zh-CN"/>
        </w:rPr>
        <w:lastRenderedPageBreak/>
        <w:t>Discussion</w:t>
      </w:r>
    </w:p>
    <w:p w14:paraId="511EAB38" w14:textId="77777777" w:rsidR="00001CC3" w:rsidRDefault="003B3E68">
      <w:pPr>
        <w:pStyle w:val="2"/>
        <w:ind w:left="200" w:right="200"/>
        <w:rPr>
          <w:lang w:val="en-US" w:eastAsia="zh-CN"/>
        </w:rPr>
      </w:pPr>
      <w:r>
        <w:rPr>
          <w:rFonts w:hint="eastAsia"/>
          <w:lang w:val="en-US" w:eastAsia="zh-CN"/>
        </w:rPr>
        <w:t>Mobile-IAB cell indication broadcast by mobile IAB cell</w:t>
      </w:r>
    </w:p>
    <w:p w14:paraId="6209EC61" w14:textId="77777777" w:rsidR="00436347" w:rsidRDefault="00436347" w:rsidP="00436347">
      <w:pPr>
        <w:rPr>
          <w:rFonts w:eastAsia="Batang"/>
          <w:lang w:val="en-US" w:eastAsia="zh-CN"/>
        </w:rPr>
      </w:pPr>
      <w:r>
        <w:rPr>
          <w:rFonts w:eastAsia="Batang"/>
        </w:rPr>
        <w:t xml:space="preserve">RAN2 has received an LS from SA2 about </w:t>
      </w:r>
      <w:r>
        <w:rPr>
          <w:color w:val="0D0D0D"/>
        </w:rPr>
        <w:t>FS_VMR solutions review</w:t>
      </w:r>
      <w:r>
        <w:rPr>
          <w:rFonts w:hint="eastAsia"/>
          <w:color w:val="0D0D0D"/>
        </w:rPr>
        <w:t xml:space="preserve">. Within the LS, the UE access control of MBSR using </w:t>
      </w:r>
      <w:r>
        <w:rPr>
          <w:rFonts w:eastAsia="Batang" w:hint="eastAsia"/>
        </w:rPr>
        <w:t>C</w:t>
      </w:r>
      <w:r>
        <w:rPr>
          <w:rFonts w:eastAsia="Batang"/>
        </w:rPr>
        <w:t>AG</w:t>
      </w:r>
      <w:r>
        <w:rPr>
          <w:rFonts w:eastAsia="Batang" w:hint="eastAsia"/>
        </w:rPr>
        <w:t xml:space="preserve"> is mentioned as follows.</w:t>
      </w:r>
    </w:p>
    <w:tbl>
      <w:tblPr>
        <w:tblStyle w:val="af4"/>
        <w:tblW w:w="0" w:type="auto"/>
        <w:tblLook w:val="04A0" w:firstRow="1" w:lastRow="0" w:firstColumn="1" w:lastColumn="0" w:noHBand="0" w:noVBand="1"/>
      </w:tblPr>
      <w:tblGrid>
        <w:gridCol w:w="9857"/>
      </w:tblGrid>
      <w:tr w:rsidR="00436347" w14:paraId="66B24DAF" w14:textId="77777777" w:rsidTr="00436347">
        <w:tc>
          <w:tcPr>
            <w:tcW w:w="9857" w:type="dxa"/>
            <w:tcBorders>
              <w:top w:val="single" w:sz="4" w:space="0" w:color="auto"/>
              <w:left w:val="single" w:sz="4" w:space="0" w:color="auto"/>
              <w:bottom w:val="single" w:sz="4" w:space="0" w:color="auto"/>
              <w:right w:val="single" w:sz="4" w:space="0" w:color="auto"/>
            </w:tcBorders>
            <w:hideMark/>
          </w:tcPr>
          <w:p w14:paraId="31BE1F01" w14:textId="77777777" w:rsidR="00436347" w:rsidRDefault="00436347">
            <w:pPr>
              <w:widowControl w:val="0"/>
              <w:spacing w:beforeLines="50" w:before="156"/>
              <w:jc w:val="both"/>
              <w:rPr>
                <w:rFonts w:ascii="Arial" w:hAnsi="Arial" w:cs="Arial"/>
              </w:rPr>
            </w:pPr>
            <w:r>
              <w:t>S2-2211437</w:t>
            </w:r>
          </w:p>
          <w:p w14:paraId="65B83411" w14:textId="77777777" w:rsidR="00436347" w:rsidRDefault="00436347">
            <w:pPr>
              <w:widowControl w:val="0"/>
              <w:spacing w:beforeLines="50" w:before="156"/>
              <w:jc w:val="both"/>
            </w:pPr>
            <w:r>
              <w:rPr>
                <w:rFonts w:ascii="Arial" w:hAnsi="Arial" w:cs="Arial"/>
              </w:rPr>
              <w:t>Additionally, SA2 would like to further inform that SA2 has reached conclusions for KI#7 in SA2 study related to control of UE access to MBSR using CAG function. See more detailed text in clause 8.7 of the latest TR 23.700-05v1.2.0.</w:t>
            </w:r>
          </w:p>
        </w:tc>
      </w:tr>
    </w:tbl>
    <w:p w14:paraId="615B26C9" w14:textId="77777777" w:rsidR="00436347" w:rsidRDefault="00436347" w:rsidP="00436347">
      <w:pPr>
        <w:widowControl w:val="0"/>
        <w:spacing w:beforeLines="50" w:before="156"/>
        <w:jc w:val="both"/>
        <w:rPr>
          <w:rFonts w:eastAsia="Batang"/>
        </w:rPr>
      </w:pPr>
      <w:r>
        <w:rPr>
          <w:rFonts w:eastAsia="Batang" w:hint="eastAsia"/>
        </w:rPr>
        <w:t>According to TR 23.700-05, the CAG relevant description is captured as follows:</w:t>
      </w:r>
    </w:p>
    <w:tbl>
      <w:tblPr>
        <w:tblStyle w:val="af4"/>
        <w:tblW w:w="0" w:type="auto"/>
        <w:tblLook w:val="04A0" w:firstRow="1" w:lastRow="0" w:firstColumn="1" w:lastColumn="0" w:noHBand="0" w:noVBand="1"/>
      </w:tblPr>
      <w:tblGrid>
        <w:gridCol w:w="9857"/>
      </w:tblGrid>
      <w:tr w:rsidR="00436347" w14:paraId="4DC9FA43" w14:textId="77777777" w:rsidTr="00436347">
        <w:tc>
          <w:tcPr>
            <w:tcW w:w="9857" w:type="dxa"/>
            <w:tcBorders>
              <w:top w:val="single" w:sz="4" w:space="0" w:color="auto"/>
              <w:left w:val="single" w:sz="4" w:space="0" w:color="auto"/>
              <w:bottom w:val="single" w:sz="4" w:space="0" w:color="auto"/>
              <w:right w:val="single" w:sz="4" w:space="0" w:color="auto"/>
            </w:tcBorders>
            <w:hideMark/>
          </w:tcPr>
          <w:p w14:paraId="00EBE2A9" w14:textId="77777777" w:rsidR="00436347" w:rsidRDefault="00436347">
            <w:pPr>
              <w:pStyle w:val="NO"/>
              <w:ind w:right="200"/>
              <w:rPr>
                <w:rFonts w:eastAsia="宋体"/>
              </w:rPr>
            </w:pPr>
            <w:r>
              <w:rPr>
                <w:rFonts w:ascii="Times New Roman" w:hAnsi="Times New Roman"/>
              </w:rPr>
              <w:t xml:space="preserve">- </w:t>
            </w:r>
            <w:r>
              <w:rPr>
                <w:rFonts w:ascii="Times New Roman" w:hAnsi="Times New Roman"/>
              </w:rPr>
              <w:tab/>
              <w:t>CAG Identifier is used to control the access of UE via MBSR (i.e. mobile IAB-node) and existing CAG mechanism defined in clause 5.30.3 of TS 23.501 [2] can be used for managing UE's access to MBSR.</w:t>
            </w:r>
          </w:p>
          <w:p w14:paraId="7463279C" w14:textId="77777777" w:rsidR="00436347" w:rsidRDefault="00436347">
            <w:pPr>
              <w:pStyle w:val="NO"/>
              <w:ind w:right="200"/>
              <w:rPr>
                <w:rFonts w:ascii="Times New Roman" w:hAnsi="Times New Roman"/>
              </w:rPr>
            </w:pPr>
            <w:r>
              <w:rPr>
                <w:rFonts w:ascii="Times New Roman" w:hAnsi="Times New Roman"/>
              </w:rPr>
              <w:t>-</w:t>
            </w:r>
            <w:r>
              <w:rPr>
                <w:rFonts w:ascii="Times New Roman" w:hAnsi="Times New Roman"/>
              </w:rPr>
              <w:tab/>
              <w:t>When the MBSR is allowed to be operated as an IAB node for a PLMN, the MBSR is configured, either during the communication with the serving PLMN OAM or pre-configured, with CAG identifier which is unique within the scope of this PLMN. If the MBSR is pre-configured with the PLMN list in which the MBSR is allowed to operate as an IAB node, the corresponding CAG Identifier per PLMN is also configured in the MBSR.</w:t>
            </w:r>
          </w:p>
          <w:p w14:paraId="1AF3910C" w14:textId="77777777" w:rsidR="00436347" w:rsidRDefault="00436347">
            <w:pPr>
              <w:pStyle w:val="NO"/>
              <w:ind w:right="200"/>
              <w:rPr>
                <w:rFonts w:ascii="Times New Roman" w:hAnsi="Times New Roman"/>
              </w:rPr>
            </w:pPr>
            <w:r>
              <w:rPr>
                <w:rFonts w:ascii="Times New Roman" w:hAnsi="Times New Roman"/>
              </w:rPr>
              <w:t>-</w:t>
            </w:r>
            <w:r>
              <w:rPr>
                <w:rFonts w:ascii="Times New Roman" w:hAnsi="Times New Roman"/>
              </w:rPr>
              <w:tab/>
              <w:t>RAN and CN supports the UE access control based on the CAG identifier associated with the cell and the allowed CAG identifiers for the UE that supports CAG functionality.</w:t>
            </w:r>
          </w:p>
          <w:p w14:paraId="0D1044AA" w14:textId="77777777" w:rsidR="00436347" w:rsidRDefault="00436347">
            <w:pPr>
              <w:pStyle w:val="NO"/>
              <w:ind w:right="200"/>
              <w:rPr>
                <w:rFonts w:ascii="Times New Roman" w:hAnsi="Times New Roman"/>
              </w:rPr>
            </w:pPr>
            <w:r>
              <w:rPr>
                <w:rFonts w:ascii="Times New Roman" w:hAnsi="Times New Roman"/>
              </w:rPr>
              <w:t>-</w:t>
            </w:r>
            <w:r>
              <w:rPr>
                <w:rFonts w:ascii="Times New Roman" w:hAnsi="Times New Roman"/>
              </w:rPr>
              <w:tab/>
              <w:t>For the UE that does not support CAG functionality, RAN and CN are allowed to use not only CAG mechanism but also the other existing mechanism e.g. forbidden Tracking Area.</w:t>
            </w:r>
          </w:p>
          <w:p w14:paraId="4426F64A" w14:textId="77777777" w:rsidR="00436347" w:rsidRDefault="00436347">
            <w:pPr>
              <w:pStyle w:val="NO"/>
              <w:ind w:right="200"/>
              <w:rPr>
                <w:rFonts w:ascii="Times New Roman" w:hAnsi="Times New Roman"/>
              </w:rPr>
            </w:pPr>
            <w:r>
              <w:rPr>
                <w:rFonts w:ascii="Times New Roman" w:hAnsi="Times New Roman"/>
              </w:rPr>
              <w:t xml:space="preserve">- </w:t>
            </w:r>
            <w:r>
              <w:rPr>
                <w:rFonts w:ascii="Times New Roman" w:hAnsi="Times New Roman"/>
              </w:rPr>
              <w:tab/>
              <w:t>Extra information (e.g. time duration and location information) may be deployed together with the CAG Identifier for MBSR that UE can access. The enhanced Allowed CAG list will be provided to UE and AMF for enforcement to make sure UE not accessing the MBSR cell outside of the time duration or geographic area, e.g. if the time when a certain CAG is allowed for a UE is up or UE is out of the geographic area, the CAG for the UE is revoked from the network as per TS 23.501 [2]. In normative phase it will be also considered whether a more energy efficient approach based on time and location based information can be pursued.</w:t>
            </w:r>
          </w:p>
          <w:p w14:paraId="25C34821" w14:textId="77777777" w:rsidR="00436347" w:rsidRDefault="00436347">
            <w:pPr>
              <w:pStyle w:val="NO"/>
              <w:ind w:right="200"/>
              <w:rPr>
                <w:rFonts w:ascii="Times New Roman" w:hAnsi="Times New Roman"/>
              </w:rPr>
            </w:pPr>
            <w:r>
              <w:rPr>
                <w:rFonts w:ascii="Times New Roman" w:hAnsi="Times New Roman"/>
              </w:rPr>
              <w:t>-</w:t>
            </w:r>
            <w:r>
              <w:rPr>
                <w:rFonts w:ascii="Times New Roman" w:hAnsi="Times New Roman"/>
              </w:rPr>
              <w:tab/>
              <w:t>Extra information may also be provided with allowed CAG ID list by AMF to the UE for IDLE mode cell access control, e.g. cell (re)selection.</w:t>
            </w:r>
          </w:p>
          <w:p w14:paraId="4FB2EC42" w14:textId="77777777" w:rsidR="00436347" w:rsidRDefault="00436347">
            <w:pPr>
              <w:pStyle w:val="NO"/>
              <w:ind w:right="200"/>
              <w:rPr>
                <w:rFonts w:ascii="Times New Roman" w:hAnsi="Times New Roman"/>
              </w:rPr>
            </w:pPr>
            <w:r>
              <w:rPr>
                <w:rFonts w:ascii="Times New Roman" w:hAnsi="Times New Roman"/>
              </w:rPr>
              <w:t>-</w:t>
            </w:r>
            <w:r>
              <w:rPr>
                <w:rFonts w:ascii="Times New Roman" w:hAnsi="Times New Roman"/>
              </w:rPr>
              <w:tab/>
              <w:t>The AMF may verify whether UE access via MBSR is allowed by CAG Identifier and corresponding Extra information.</w:t>
            </w:r>
          </w:p>
          <w:p w14:paraId="1E1E8AC0" w14:textId="77777777" w:rsidR="00436347" w:rsidRDefault="00436347">
            <w:pPr>
              <w:pStyle w:val="NO"/>
              <w:ind w:right="200"/>
              <w:rPr>
                <w:rFonts w:ascii="Times New Roman" w:hAnsi="Times New Roman"/>
              </w:rPr>
            </w:pPr>
            <w:r>
              <w:rPr>
                <w:rFonts w:ascii="Times New Roman" w:hAnsi="Times New Roman"/>
              </w:rPr>
              <w:t>NOTE 2:</w:t>
            </w:r>
            <w:r>
              <w:rPr>
                <w:rFonts w:ascii="Times New Roman" w:hAnsi="Times New Roman"/>
              </w:rPr>
              <w:tab/>
              <w:t>Whether this Extra information needs to be provided to NG-RAN, e.g. to allow access control for transition from RRC Inactive to RRC Connected state and/or to determine the cells where paging will be performed (as described in clause 4.2.3.3 of TS 23.502 [5]) will be coordinated with RAN WGs in normative phase.</w:t>
            </w:r>
          </w:p>
          <w:p w14:paraId="14BDBB5F" w14:textId="77777777" w:rsidR="00436347" w:rsidRDefault="00436347">
            <w:pPr>
              <w:pStyle w:val="NO"/>
              <w:ind w:right="200"/>
            </w:pPr>
            <w:r>
              <w:rPr>
                <w:rFonts w:ascii="Times New Roman" w:hAnsi="Times New Roman"/>
              </w:rPr>
              <w:t>NOTE 3:</w:t>
            </w:r>
            <w:r>
              <w:rPr>
                <w:rFonts w:ascii="Times New Roman" w:hAnsi="Times New Roman"/>
              </w:rPr>
              <w:tab/>
              <w:t>Control of the MBSR access to the serving network is based on normal mobility restriction management based on subscription data form MBSR (i.e. IAB-UE).</w:t>
            </w:r>
          </w:p>
        </w:tc>
      </w:tr>
    </w:tbl>
    <w:p w14:paraId="03C5A094" w14:textId="50BCBBE5" w:rsidR="00001CC3" w:rsidRDefault="002439F4" w:rsidP="00436347">
      <w:pPr>
        <w:widowControl w:val="0"/>
        <w:spacing w:beforeLines="50" w:before="156"/>
        <w:jc w:val="both"/>
      </w:pPr>
      <w:r>
        <w:rPr>
          <w:rFonts w:eastAsia="Batang"/>
          <w:lang w:val="en-US" w:eastAsia="zh-CN"/>
        </w:rPr>
        <w:t>As shown above, a</w:t>
      </w:r>
      <w:r w:rsidR="003B3E68">
        <w:rPr>
          <w:rFonts w:eastAsia="Batang" w:hint="eastAsia"/>
          <w:lang w:val="en-US" w:eastAsia="zh-CN"/>
        </w:rPr>
        <w:t xml:space="preserve">ccording to the latest TR 23.700-05, it has been concluded that </w:t>
      </w:r>
      <w:r w:rsidR="003B3E68">
        <w:t>CAG Identifier is used to control the access of UE via MBSR (i.e. mobile IAB-node) and</w:t>
      </w:r>
      <w:r w:rsidR="003B3E68">
        <w:rPr>
          <w:lang w:val="en-US"/>
        </w:rPr>
        <w:t xml:space="preserve"> existing CAG mechanism can be used for managing UE’s access to MBSR</w:t>
      </w:r>
      <w:r w:rsidR="003B3E68">
        <w:rPr>
          <w:rFonts w:hint="eastAsia"/>
          <w:lang w:val="en-US" w:eastAsia="zh-CN"/>
        </w:rPr>
        <w:t xml:space="preserve">. </w:t>
      </w:r>
      <w:r w:rsidR="003B3E68">
        <w:rPr>
          <w:lang w:eastAsia="zh-CN"/>
        </w:rPr>
        <w:t xml:space="preserve">RAN and CN supports the UE access control based on the CAG identifier associated with the cell and the allowed CAG identifiers for the UE </w:t>
      </w:r>
      <w:r w:rsidR="003B3E68">
        <w:t>that supports CAG functionality</w:t>
      </w:r>
      <w:r w:rsidR="003B3E68">
        <w:rPr>
          <w:rFonts w:hint="eastAsia"/>
          <w:lang w:val="en-US" w:eastAsia="zh-CN"/>
        </w:rPr>
        <w:t xml:space="preserve">. </w:t>
      </w:r>
      <w:r w:rsidR="003B3E68">
        <w:rPr>
          <w:lang w:eastAsia="zh-CN"/>
        </w:rPr>
        <w:t xml:space="preserve">For the UE that does not support CAG </w:t>
      </w:r>
      <w:r w:rsidR="003B3E68">
        <w:rPr>
          <w:lang w:eastAsia="zh-CN"/>
        </w:rPr>
        <w:lastRenderedPageBreak/>
        <w:t>functionality, RAN and CN are allowed to use not only CAG mechanism but also the other existing mechanism e.g. forbidden Tracking Area.</w:t>
      </w:r>
      <w:r w:rsidR="003B3E68">
        <w:rPr>
          <w:rFonts w:hint="eastAsia"/>
          <w:lang w:val="en-US" w:eastAsia="zh-CN"/>
        </w:rPr>
        <w:t xml:space="preserve"> In addition, e</w:t>
      </w:r>
      <w:proofErr w:type="spellStart"/>
      <w:r w:rsidR="003B3E68">
        <w:t>xtra</w:t>
      </w:r>
      <w:proofErr w:type="spellEnd"/>
      <w:r w:rsidR="003B3E68">
        <w:t xml:space="preserve"> information (e.g. time duration and location information) may be deployed together with the CAG Identifier for MBSR that UE can access. </w:t>
      </w:r>
      <w:r w:rsidR="003B3E68">
        <w:rPr>
          <w:lang w:val="en-US"/>
        </w:rPr>
        <w:t>The enhanced Allowed CAG list will be provided to UE and AMF for enforcement to make sure UE not accessing the MBSR cell outside of the time duration or geographic area</w:t>
      </w:r>
      <w:r w:rsidR="003B3E68">
        <w:t>.</w:t>
      </w:r>
    </w:p>
    <w:p w14:paraId="1BD689E9" w14:textId="3F8DF08A" w:rsidR="00AE1E5C" w:rsidRDefault="00AE1E5C">
      <w:pPr>
        <w:widowControl w:val="0"/>
        <w:spacing w:beforeLines="50" w:before="156"/>
        <w:jc w:val="both"/>
      </w:pPr>
      <w:r>
        <w:rPr>
          <w:rFonts w:hint="eastAsia"/>
          <w:b/>
          <w:bCs/>
        </w:rPr>
        <w:t xml:space="preserve">Observation 1: SA2 has concluded that </w:t>
      </w:r>
      <w:r>
        <w:rPr>
          <w:b/>
          <w:bCs/>
        </w:rPr>
        <w:t>CAG Identifier is used to control the access of UE via MBSR (i.e. mobile IAB-node) and existing CAG mechanism can be used for managing UE’s access to MBSR</w:t>
      </w:r>
      <w:r>
        <w:rPr>
          <w:rFonts w:hint="eastAsia"/>
          <w:b/>
          <w:bCs/>
        </w:rPr>
        <w:t xml:space="preserve">. </w:t>
      </w:r>
      <w:r>
        <w:rPr>
          <w:b/>
          <w:bCs/>
        </w:rPr>
        <w:t>For the UE that does not support CAG functionality, RAN and CN are allowed to use the other existing mechanism e.g. forbidden Tracking Area.</w:t>
      </w:r>
      <w:r>
        <w:rPr>
          <w:rFonts w:hint="eastAsia"/>
          <w:b/>
          <w:bCs/>
        </w:rPr>
        <w:t xml:space="preserve"> </w:t>
      </w:r>
    </w:p>
    <w:p w14:paraId="554A1421" w14:textId="77777777" w:rsidR="001A3DCE" w:rsidRDefault="001A3DCE" w:rsidP="001A3DCE">
      <w:pPr>
        <w:widowControl w:val="0"/>
        <w:spacing w:beforeLines="50" w:before="156"/>
        <w:jc w:val="both"/>
        <w:rPr>
          <w:lang w:val="en-US" w:eastAsia="zh-CN"/>
        </w:rPr>
      </w:pPr>
      <w:r>
        <w:rPr>
          <w:rFonts w:hint="eastAsia"/>
        </w:rPr>
        <w:t xml:space="preserve">Based on the progress of SA2, it is possible for the CAG capable UE to regard itself as on-board if it can access a mobile IAB node </w:t>
      </w:r>
      <w:r>
        <w:rPr>
          <w:rFonts w:eastAsia="STIXTwoText"/>
        </w:rPr>
        <w:t xml:space="preserve">broadcast a CAG ID contained in the UE’s allowed CAG </w:t>
      </w:r>
      <w:proofErr w:type="spellStart"/>
      <w:r>
        <w:rPr>
          <w:rFonts w:eastAsia="STIXTwoText"/>
        </w:rPr>
        <w:t>list</w:t>
      </w:r>
      <w:r>
        <w:rPr>
          <w:rFonts w:eastAsia="STIXTwoText" w:hint="eastAsia"/>
        </w:rPr>
        <w:t>.T</w:t>
      </w:r>
      <w:r>
        <w:rPr>
          <w:rFonts w:hint="eastAsia"/>
        </w:rPr>
        <w:t>o</w:t>
      </w:r>
      <w:proofErr w:type="spellEnd"/>
      <w:r>
        <w:rPr>
          <w:rFonts w:hint="eastAsia"/>
        </w:rPr>
        <w:t xml:space="preserve"> support this, a prerequisite is that UE should be able to identify which cell is mobile IAB cell and then check the corresponding CAG ID broadcast by the cell to determine whether it can be allowed to access.</w:t>
      </w:r>
      <w:r>
        <w:t xml:space="preserve"> </w:t>
      </w:r>
    </w:p>
    <w:p w14:paraId="15F329E8" w14:textId="77777777" w:rsidR="001A3DCE" w:rsidRDefault="001A3DCE" w:rsidP="001A3DCE">
      <w:pPr>
        <w:widowControl w:val="0"/>
        <w:spacing w:beforeLines="50" w:before="156"/>
        <w:jc w:val="both"/>
      </w:pPr>
      <w:r>
        <w:rPr>
          <w:rFonts w:hint="eastAsia"/>
        </w:rPr>
        <w:t xml:space="preserve">On the other hand, </w:t>
      </w:r>
      <w:r>
        <w:t xml:space="preserve">the relative speed of movement between UE and mobile IAB can also aid to judge whether a UE is </w:t>
      </w:r>
      <w:proofErr w:type="spellStart"/>
      <w:r>
        <w:t>onboard</w:t>
      </w:r>
      <w:proofErr w:type="spellEnd"/>
      <w:r>
        <w:rPr>
          <w:rFonts w:hint="eastAsia"/>
        </w:rPr>
        <w:t xml:space="preserve">. Suppose </w:t>
      </w:r>
      <w:r>
        <w:t xml:space="preserve">UE finds multiple mobile IAB cells </w:t>
      </w:r>
      <w:r>
        <w:rPr>
          <w:rFonts w:hint="eastAsia"/>
        </w:rPr>
        <w:t xml:space="preserve">are </w:t>
      </w:r>
      <w:r>
        <w:t>available</w:t>
      </w:r>
      <w:r>
        <w:rPr>
          <w:rFonts w:hint="eastAsia"/>
        </w:rPr>
        <w:t xml:space="preserve"> and </w:t>
      </w:r>
      <w:r>
        <w:t xml:space="preserve">the CAG identifiers </w:t>
      </w:r>
      <w:r>
        <w:rPr>
          <w:rFonts w:hint="eastAsia"/>
        </w:rPr>
        <w:t xml:space="preserve">broadcast by these </w:t>
      </w:r>
      <w:r>
        <w:t xml:space="preserve">mobile IAB </w:t>
      </w:r>
      <w:r>
        <w:rPr>
          <w:rFonts w:hint="eastAsia"/>
        </w:rPr>
        <w:t xml:space="preserve">cells are </w:t>
      </w:r>
      <w:r>
        <w:t xml:space="preserve">all in the allowed CAG </w:t>
      </w:r>
      <w:r>
        <w:rPr>
          <w:rFonts w:hint="eastAsia"/>
        </w:rPr>
        <w:t>list</w:t>
      </w:r>
      <w:r>
        <w:t xml:space="preserve">, the UE </w:t>
      </w:r>
      <w:r>
        <w:rPr>
          <w:rFonts w:hint="eastAsia"/>
        </w:rPr>
        <w:t xml:space="preserve">may further </w:t>
      </w:r>
      <w:r>
        <w:t xml:space="preserve">judge its </w:t>
      </w:r>
      <w:r>
        <w:rPr>
          <w:rFonts w:hint="eastAsia"/>
        </w:rPr>
        <w:t xml:space="preserve">relative moving speed with these mobile IAB cells and decide it is </w:t>
      </w:r>
      <w:proofErr w:type="spellStart"/>
      <w:r>
        <w:rPr>
          <w:rFonts w:hint="eastAsia"/>
        </w:rPr>
        <w:t>onboard</w:t>
      </w:r>
      <w:proofErr w:type="spellEnd"/>
      <w:r>
        <w:rPr>
          <w:rFonts w:hint="eastAsia"/>
        </w:rPr>
        <w:t xml:space="preserve"> of which mobile IAB cell. According to TS 38.304, the mechanisms for the stationary evaluation and low mobility evaluation between UE and serving cell have been specified. The fundamental idea is for UE to check if the variation between current RSRP measurement result and the maximum RSRP for the time period for which the variation is evaluated is lower than a given threshold. If yes, the UE regards it </w:t>
      </w:r>
      <w:proofErr w:type="spellStart"/>
      <w:r>
        <w:rPr>
          <w:rFonts w:hint="eastAsia"/>
        </w:rPr>
        <w:t>fulfills</w:t>
      </w:r>
      <w:proofErr w:type="spellEnd"/>
      <w:r>
        <w:rPr>
          <w:rFonts w:hint="eastAsia"/>
        </w:rPr>
        <w:t xml:space="preserve"> the stationary/low mobility criteria for relaxed measurement. In our opinion, this mechanism can be leveraged by the UE to detect the relative speed with mobile IAB cells and determine whether it is </w:t>
      </w:r>
      <w:proofErr w:type="spellStart"/>
      <w:r>
        <w:rPr>
          <w:rFonts w:hint="eastAsia"/>
        </w:rPr>
        <w:t>onboard</w:t>
      </w:r>
      <w:proofErr w:type="spellEnd"/>
      <w:r>
        <w:rPr>
          <w:rFonts w:hint="eastAsia"/>
        </w:rPr>
        <w:t xml:space="preserve">. </w:t>
      </w:r>
      <w:proofErr w:type="gramStart"/>
      <w:r>
        <w:rPr>
          <w:rFonts w:hint="eastAsia"/>
        </w:rPr>
        <w:t>cells</w:t>
      </w:r>
      <w:proofErr w:type="gramEnd"/>
      <w:r>
        <w:rPr>
          <w:rFonts w:hint="eastAsia"/>
        </w:rPr>
        <w:t xml:space="preserve"> and then prioritize to select the cell with low or stationary relative mobility.  </w:t>
      </w:r>
    </w:p>
    <w:p w14:paraId="2C9B5CAF" w14:textId="77777777" w:rsidR="001A3DCE" w:rsidRDefault="001A3DCE" w:rsidP="001A3DCE">
      <w:pPr>
        <w:widowControl w:val="0"/>
        <w:spacing w:beforeLines="50" w:before="156"/>
        <w:jc w:val="both"/>
        <w:rPr>
          <w:rFonts w:hint="eastAsia"/>
          <w:b/>
          <w:bCs/>
          <w:sz w:val="24"/>
          <w:szCs w:val="24"/>
        </w:rPr>
      </w:pPr>
      <w:r>
        <w:rPr>
          <w:rFonts w:eastAsia="Batang" w:hint="eastAsia"/>
          <w:b/>
          <w:bCs/>
        </w:rPr>
        <w:t xml:space="preserve">Proposal </w:t>
      </w:r>
      <w:r>
        <w:rPr>
          <w:rFonts w:eastAsia="Batang"/>
          <w:b/>
          <w:bCs/>
        </w:rPr>
        <w:t>1</w:t>
      </w:r>
      <w:r>
        <w:rPr>
          <w:rFonts w:eastAsia="Batang" w:hint="eastAsia"/>
          <w:b/>
          <w:bCs/>
        </w:rPr>
        <w:t xml:space="preserve">: </w:t>
      </w:r>
      <w:r>
        <w:rPr>
          <w:rFonts w:hint="eastAsia"/>
          <w:b/>
          <w:bCs/>
        </w:rPr>
        <w:t xml:space="preserve">Based on the </w:t>
      </w:r>
      <w:r>
        <w:rPr>
          <w:rFonts w:eastAsia="Batang" w:hint="eastAsia"/>
          <w:b/>
          <w:bCs/>
        </w:rPr>
        <w:t xml:space="preserve">mobile-IAB cell type indication broadcast by a cell, UE may make sure </w:t>
      </w:r>
      <w:r>
        <w:rPr>
          <w:rFonts w:hint="eastAsia"/>
          <w:b/>
          <w:bCs/>
        </w:rPr>
        <w:t>that the cell is a mobile IAB cell. Then UE can further check the CAG ID</w:t>
      </w:r>
      <w:r>
        <w:rPr>
          <w:b/>
          <w:bCs/>
        </w:rPr>
        <w:t xml:space="preserve"> </w:t>
      </w:r>
      <w:r>
        <w:rPr>
          <w:rFonts w:hint="eastAsia"/>
          <w:b/>
          <w:bCs/>
        </w:rPr>
        <w:t>broadcast by the mobile IAB cell and</w:t>
      </w:r>
      <w:r>
        <w:rPr>
          <w:b/>
          <w:bCs/>
        </w:rPr>
        <w:t xml:space="preserve"> relative speed with the mobile IAB cell </w:t>
      </w:r>
      <w:r>
        <w:rPr>
          <w:rFonts w:hint="eastAsia"/>
          <w:b/>
          <w:bCs/>
        </w:rPr>
        <w:t xml:space="preserve">to determine whether it is </w:t>
      </w:r>
      <w:proofErr w:type="spellStart"/>
      <w:r>
        <w:rPr>
          <w:rFonts w:hint="eastAsia"/>
          <w:b/>
          <w:bCs/>
        </w:rPr>
        <w:t>onboard</w:t>
      </w:r>
      <w:proofErr w:type="spellEnd"/>
      <w:r>
        <w:rPr>
          <w:rFonts w:hint="eastAsia"/>
          <w:b/>
          <w:bCs/>
        </w:rPr>
        <w:t>.</w:t>
      </w:r>
    </w:p>
    <w:p w14:paraId="5F3F7047" w14:textId="77777777" w:rsidR="001A3DCE" w:rsidRDefault="001A3DCE" w:rsidP="001A3DCE">
      <w:pPr>
        <w:jc w:val="both"/>
      </w:pPr>
      <w:r>
        <w:rPr>
          <w:rFonts w:eastAsia="STIXTwoText" w:hint="eastAsia"/>
        </w:rPr>
        <w:t>F</w:t>
      </w:r>
      <w:r>
        <w:t xml:space="preserve">or the UE that does not support CAG functionality, </w:t>
      </w:r>
      <w:r>
        <w:rPr>
          <w:rFonts w:hint="eastAsia"/>
        </w:rPr>
        <w:t xml:space="preserve">according to TR 23.700-05, </w:t>
      </w:r>
      <w:r>
        <w:t>RAN and CN are allowed to use not only CAG mechanism but also the other existing mechanism e.g. forbidden Tracking Area.</w:t>
      </w:r>
      <w:r>
        <w:rPr>
          <w:rFonts w:hint="eastAsia"/>
        </w:rPr>
        <w:t xml:space="preserve"> It means that UE may also regard itself as </w:t>
      </w:r>
      <w:proofErr w:type="spellStart"/>
      <w:r>
        <w:rPr>
          <w:rFonts w:hint="eastAsia"/>
        </w:rPr>
        <w:t>onboard</w:t>
      </w:r>
      <w:proofErr w:type="spellEnd"/>
      <w:r>
        <w:rPr>
          <w:rFonts w:hint="eastAsia"/>
        </w:rPr>
        <w:t xml:space="preserve"> if it can camp on the mobile IAB cell which broadcast at least one TA that is </w:t>
      </w:r>
      <w:r>
        <w:t xml:space="preserve">not part of the </w:t>
      </w:r>
      <w:r>
        <w:rPr>
          <w:rFonts w:hint="eastAsia"/>
        </w:rPr>
        <w:t>UE</w:t>
      </w:r>
      <w:r>
        <w:t>’</w:t>
      </w:r>
      <w:r>
        <w:rPr>
          <w:rFonts w:hint="eastAsia"/>
        </w:rPr>
        <w:t xml:space="preserve">s </w:t>
      </w:r>
      <w:r>
        <w:t xml:space="preserve">"Forbidden Tracking Areas for Roaming" </w:t>
      </w:r>
      <w:r>
        <w:rPr>
          <w:rFonts w:hint="eastAsia"/>
        </w:rPr>
        <w:t>list</w:t>
      </w:r>
      <w:r>
        <w:t>.</w:t>
      </w:r>
      <w:r>
        <w:rPr>
          <w:rFonts w:hint="eastAsia"/>
        </w:rPr>
        <w:t xml:space="preserve"> In order to support this, </w:t>
      </w:r>
      <w:r>
        <w:t xml:space="preserve">the TAC value of the mobile IAB node should be different from the TAC value of the surrounding </w:t>
      </w:r>
      <w:r>
        <w:rPr>
          <w:rFonts w:hint="eastAsia"/>
        </w:rPr>
        <w:t>stationary</w:t>
      </w:r>
      <w:r>
        <w:t xml:space="preserve"> cells. Otherwise, the UE cannot access the surrounding cells with the same TAC if it is prohibited from accessing the mobile IAB node. </w:t>
      </w:r>
    </w:p>
    <w:p w14:paraId="1E474B30" w14:textId="6D21E535" w:rsidR="001A3DCE" w:rsidRDefault="001A3DCE" w:rsidP="001A3DCE">
      <w:pPr>
        <w:jc w:val="both"/>
      </w:pPr>
      <w:r>
        <w:rPr>
          <w:rFonts w:hint="eastAsia"/>
        </w:rPr>
        <w:t xml:space="preserve">As we know, RAN3 has agreed to support dynamic TAC solution. It means that when mobile IAB node moves, the TAC of broadcast by mobile IAB cell may change to reflect the geographical locations. Taking this into account, it is necessary for mobile IAB cells to be configured with updated TAC which not only reflects the geographic location but also be different with other </w:t>
      </w:r>
      <w:proofErr w:type="spellStart"/>
      <w:r>
        <w:rPr>
          <w:rFonts w:hint="eastAsia"/>
        </w:rPr>
        <w:t>neighboring</w:t>
      </w:r>
      <w:proofErr w:type="spellEnd"/>
      <w:r>
        <w:rPr>
          <w:rFonts w:hint="eastAsia"/>
        </w:rPr>
        <w:t xml:space="preserve"> cells. In this way, the UE which is not allowed </w:t>
      </w:r>
      <w:proofErr w:type="spellStart"/>
      <w:r>
        <w:rPr>
          <w:rFonts w:hint="eastAsia"/>
        </w:rPr>
        <w:t>onboard</w:t>
      </w:r>
      <w:proofErr w:type="spellEnd"/>
      <w:r>
        <w:rPr>
          <w:rFonts w:hint="eastAsia"/>
        </w:rPr>
        <w:t xml:space="preserve"> can still access the </w:t>
      </w:r>
      <w:proofErr w:type="spellStart"/>
      <w:r>
        <w:rPr>
          <w:rFonts w:hint="eastAsia"/>
        </w:rPr>
        <w:t>neighboring</w:t>
      </w:r>
      <w:proofErr w:type="spellEnd"/>
      <w:r>
        <w:rPr>
          <w:rFonts w:hint="eastAsia"/>
        </w:rPr>
        <w:t xml:space="preserve"> cells. However it </w:t>
      </w:r>
      <w:proofErr w:type="spellStart"/>
      <w:r>
        <w:rPr>
          <w:rFonts w:hint="eastAsia"/>
        </w:rPr>
        <w:t>can not</w:t>
      </w:r>
      <w:proofErr w:type="spellEnd"/>
      <w:r>
        <w:rPr>
          <w:rFonts w:hint="eastAsia"/>
        </w:rPr>
        <w:t xml:space="preserve"> access the mobile IAB cells which broadcast the TAC broadcast that is </w:t>
      </w:r>
      <w:r>
        <w:t xml:space="preserve">part of the </w:t>
      </w:r>
      <w:r>
        <w:rPr>
          <w:rFonts w:hint="eastAsia"/>
        </w:rPr>
        <w:t>UE</w:t>
      </w:r>
      <w:r>
        <w:t>’</w:t>
      </w:r>
      <w:r>
        <w:rPr>
          <w:rFonts w:hint="eastAsia"/>
        </w:rPr>
        <w:t xml:space="preserve">s </w:t>
      </w:r>
      <w:r>
        <w:t xml:space="preserve">"Forbidden Tracking Areas for Roaming" </w:t>
      </w:r>
      <w:r>
        <w:rPr>
          <w:rFonts w:hint="eastAsia"/>
        </w:rPr>
        <w:t xml:space="preserve">list. </w:t>
      </w:r>
      <w:r>
        <w:t>Similarly, different mobile IAB nodes in the same geographical area may also need to be configured with different TAC values. We think this will affect the operator's TAC planning, so this issue may need further study.</w:t>
      </w:r>
    </w:p>
    <w:p w14:paraId="301C3FB7" w14:textId="77777777" w:rsidR="001A3DCE" w:rsidRDefault="001A3DCE" w:rsidP="001A3DCE">
      <w:pPr>
        <w:jc w:val="both"/>
        <w:rPr>
          <w:b/>
        </w:rPr>
      </w:pPr>
      <w:r>
        <w:rPr>
          <w:rFonts w:hint="eastAsia"/>
          <w:b/>
        </w:rPr>
        <w:lastRenderedPageBreak/>
        <w:t>Proposal</w:t>
      </w:r>
      <w:r>
        <w:rPr>
          <w:b/>
        </w:rPr>
        <w:t xml:space="preserve"> 2:</w:t>
      </w:r>
      <w:r>
        <w:rPr>
          <w:b/>
          <w:bCs/>
        </w:rPr>
        <w:t xml:space="preserve"> </w:t>
      </w:r>
      <w:r>
        <w:rPr>
          <w:rFonts w:hint="eastAsia"/>
          <w:b/>
          <w:bCs/>
        </w:rPr>
        <w:t xml:space="preserve">If </w:t>
      </w:r>
      <w:r>
        <w:rPr>
          <w:b/>
          <w:bCs/>
        </w:rPr>
        <w:t xml:space="preserve">forbidden </w:t>
      </w:r>
      <w:r>
        <w:rPr>
          <w:rFonts w:hint="eastAsia"/>
          <w:b/>
          <w:bCs/>
        </w:rPr>
        <w:t>t</w:t>
      </w:r>
      <w:r>
        <w:rPr>
          <w:b/>
          <w:bCs/>
        </w:rPr>
        <w:t xml:space="preserve">racking </w:t>
      </w:r>
      <w:r>
        <w:rPr>
          <w:rFonts w:hint="eastAsia"/>
          <w:b/>
          <w:bCs/>
        </w:rPr>
        <w:t>a</w:t>
      </w:r>
      <w:r>
        <w:rPr>
          <w:b/>
          <w:bCs/>
        </w:rPr>
        <w:t>rea</w:t>
      </w:r>
      <w:r>
        <w:rPr>
          <w:rFonts w:hint="eastAsia"/>
          <w:b/>
          <w:bCs/>
        </w:rPr>
        <w:t xml:space="preserve"> mechanism is used for UE access control of mobile IAB cells, the dynamic TAC configuration of mobile IAB cell should take this into account</w:t>
      </w:r>
      <w:r>
        <w:rPr>
          <w:b/>
          <w:bCs/>
        </w:rPr>
        <w:t>.</w:t>
      </w:r>
    </w:p>
    <w:p w14:paraId="46C509B3" w14:textId="77777777" w:rsidR="001A3DCE" w:rsidRDefault="001A3DCE" w:rsidP="001A3DCE">
      <w:pPr>
        <w:jc w:val="both"/>
      </w:pPr>
      <w:r>
        <w:rPr>
          <w:rFonts w:hint="eastAsia"/>
        </w:rPr>
        <w:t xml:space="preserve">For the UE which has already camped on mobile IAB cells, in order to avoid unnecessary inter-frequency measurement with high priority, it is suggested that UE regard the frequency which provide mobile IAB cell to be the highest priority. For the intra-frequency measurement, it is performed only if the serving cell </w:t>
      </w:r>
      <w:proofErr w:type="spellStart"/>
      <w:r>
        <w:rPr>
          <w:rFonts w:hint="eastAsia"/>
        </w:rPr>
        <w:t>can not</w:t>
      </w:r>
      <w:proofErr w:type="spellEnd"/>
      <w:r>
        <w:rPr>
          <w:rFonts w:hint="eastAsia"/>
        </w:rPr>
        <w:t xml:space="preserve"> fulfil the given threshold based on legacy mechanism. In addition, the relaxed RRM measurement for inter/intra-frequency cells may be enabled for UEs camped on the mobile IAB cells. </w:t>
      </w:r>
    </w:p>
    <w:p w14:paraId="1011F70A" w14:textId="77777777" w:rsidR="001A3DCE" w:rsidRDefault="001A3DCE" w:rsidP="001A3DCE">
      <w:pPr>
        <w:jc w:val="both"/>
        <w:rPr>
          <w:b/>
          <w:bCs/>
        </w:rPr>
      </w:pPr>
      <w:r>
        <w:rPr>
          <w:rFonts w:hint="eastAsia"/>
          <w:b/>
          <w:bCs/>
        </w:rPr>
        <w:t xml:space="preserve">Proposal </w:t>
      </w:r>
      <w:r>
        <w:rPr>
          <w:b/>
          <w:bCs/>
        </w:rPr>
        <w:t>3</w:t>
      </w:r>
      <w:r>
        <w:rPr>
          <w:rFonts w:hint="eastAsia"/>
          <w:b/>
          <w:bCs/>
        </w:rPr>
        <w:t>: To avoid unnecessary inter-frequency measurement with high priority, UE camped on mobile IAB cell may regard the frequency which provide mobile IAB cell to be the highest priority. In addition, the relaxed RRM measurement may be enabled for UEs camped on the mobile IAB cells.</w:t>
      </w:r>
    </w:p>
    <w:p w14:paraId="1C3EFA66" w14:textId="77777777" w:rsidR="001A3DCE" w:rsidRDefault="001A3DCE" w:rsidP="001A3DCE">
      <w:pPr>
        <w:jc w:val="both"/>
      </w:pPr>
      <w:r>
        <w:rPr>
          <w:rFonts w:hint="eastAsia"/>
        </w:rPr>
        <w:t xml:space="preserve">With the movement of mobile IAB, the PCI/frequency of mobile IAB cells may change. From the perspective of RRC_IDLE/INACTIVE UE, it can no longer detect the serving cell and then will initiate the intra/inter-frequency measurement. Based on this observation, it would be better to notify the camped UE with the PCI/frequency change in advance and then the camped RRC_IDLE/INACTIVE UE try to re-select the cell with new PCI/frequency. On the other hand, if the UE is not notified of the new PCI, it will continue to </w:t>
      </w:r>
      <w:proofErr w:type="gramStart"/>
      <w:r>
        <w:rPr>
          <w:rFonts w:hint="eastAsia"/>
        </w:rPr>
        <w:t>camped</w:t>
      </w:r>
      <w:proofErr w:type="gramEnd"/>
      <w:r>
        <w:rPr>
          <w:rFonts w:hint="eastAsia"/>
        </w:rPr>
        <w:t xml:space="preserve"> on the cell with old PCI. Suppose the old PCI is also used by the </w:t>
      </w:r>
      <w:proofErr w:type="spellStart"/>
      <w:r>
        <w:rPr>
          <w:rFonts w:hint="eastAsia"/>
        </w:rPr>
        <w:t>neighboring</w:t>
      </w:r>
      <w:proofErr w:type="spellEnd"/>
      <w:r>
        <w:rPr>
          <w:rFonts w:hint="eastAsia"/>
        </w:rPr>
        <w:t xml:space="preserve"> stationary cells, it may cause confusion for the RRC_IDLE/INACTIVE UE. </w:t>
      </w:r>
    </w:p>
    <w:p w14:paraId="5584500C" w14:textId="510802ED" w:rsidR="00001CC3" w:rsidRPr="001A3DCE" w:rsidRDefault="001A3DCE" w:rsidP="001A3DCE">
      <w:pPr>
        <w:rPr>
          <w:b/>
          <w:bCs/>
          <w:lang w:eastAsia="zh-CN"/>
        </w:rPr>
      </w:pPr>
      <w:r>
        <w:rPr>
          <w:rFonts w:hint="eastAsia"/>
          <w:b/>
          <w:bCs/>
        </w:rPr>
        <w:t xml:space="preserve">Proposal </w:t>
      </w:r>
      <w:r>
        <w:rPr>
          <w:b/>
          <w:bCs/>
        </w:rPr>
        <w:t>4</w:t>
      </w:r>
      <w:r>
        <w:rPr>
          <w:rFonts w:hint="eastAsia"/>
          <w:b/>
          <w:bCs/>
        </w:rPr>
        <w:t>: Suppose the PCI/frequency of mobile IAB cell change due to collision avoidance, it is suggested to notify the camped UE with the potential change in advance and then the camped RRC_IDLE/INACTIVE UE re-select the cell with new PCI/frequency.</w:t>
      </w:r>
    </w:p>
    <w:p w14:paraId="6F0B1E98" w14:textId="77777777" w:rsidR="00001CC3" w:rsidRDefault="003B3E68">
      <w:pPr>
        <w:pStyle w:val="1"/>
        <w:jc w:val="both"/>
        <w:rPr>
          <w:rFonts w:eastAsia="宋体"/>
          <w:lang w:eastAsia="zh-CN"/>
        </w:rPr>
      </w:pPr>
      <w:bookmarkStart w:id="1" w:name="OLE_LINK2"/>
      <w:bookmarkStart w:id="2" w:name="OLE_LINK1"/>
      <w:bookmarkEnd w:id="0"/>
      <w:r>
        <w:rPr>
          <w:rFonts w:eastAsia="宋体" w:hint="eastAsia"/>
          <w:lang w:eastAsia="zh-CN"/>
        </w:rPr>
        <w:t>Conclusion</w:t>
      </w:r>
    </w:p>
    <w:bookmarkEnd w:id="1"/>
    <w:bookmarkEnd w:id="2"/>
    <w:p w14:paraId="18A1A15C" w14:textId="77777777" w:rsidR="00001CC3" w:rsidRDefault="003B3E68">
      <w:pPr>
        <w:overflowPunct w:val="0"/>
        <w:autoSpaceDE w:val="0"/>
        <w:autoSpaceDN w:val="0"/>
        <w:adjustRightInd w:val="0"/>
        <w:spacing w:beforeLines="50" w:before="156"/>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14:paraId="33F02773" w14:textId="1F262F16" w:rsidR="00227CA3" w:rsidRDefault="00227CA3">
      <w:pPr>
        <w:widowControl w:val="0"/>
        <w:spacing w:beforeLines="50" w:before="156"/>
        <w:jc w:val="both"/>
        <w:rPr>
          <w:rFonts w:eastAsia="Batang"/>
          <w:b/>
          <w:bCs/>
          <w:lang w:val="en-US" w:eastAsia="zh-CN"/>
        </w:rPr>
      </w:pPr>
      <w:r>
        <w:rPr>
          <w:rFonts w:hint="eastAsia"/>
          <w:b/>
          <w:bCs/>
        </w:rPr>
        <w:t xml:space="preserve">Observation 1: SA2 has concluded that </w:t>
      </w:r>
      <w:r>
        <w:rPr>
          <w:b/>
          <w:bCs/>
        </w:rPr>
        <w:t>CAG Identifier is used to control the access of UE via MBSR (i.e. mobile IAB-node) and existing CAG mechanism can be used for managing UE’s access to MBSR</w:t>
      </w:r>
      <w:r>
        <w:rPr>
          <w:rFonts w:hint="eastAsia"/>
          <w:b/>
          <w:bCs/>
        </w:rPr>
        <w:t xml:space="preserve">. </w:t>
      </w:r>
      <w:r>
        <w:rPr>
          <w:b/>
          <w:bCs/>
        </w:rPr>
        <w:t>For the UE that does not support CAG functionality, RAN and CN are allowed to use the other existing mechanism e.g. forbidden Tracking Area.</w:t>
      </w:r>
    </w:p>
    <w:p w14:paraId="1649C559" w14:textId="60073CC7" w:rsidR="00227CA3" w:rsidRDefault="005713FB" w:rsidP="00227CA3">
      <w:pPr>
        <w:widowControl w:val="0"/>
        <w:spacing w:beforeLines="50" w:before="156"/>
        <w:jc w:val="both"/>
        <w:rPr>
          <w:b/>
          <w:bCs/>
          <w:lang w:val="en-US" w:eastAsia="zh-CN"/>
        </w:rPr>
      </w:pPr>
      <w:r>
        <w:rPr>
          <w:rFonts w:eastAsia="Batang" w:hint="eastAsia"/>
          <w:b/>
          <w:bCs/>
        </w:rPr>
        <w:t xml:space="preserve">Proposal </w:t>
      </w:r>
      <w:r>
        <w:rPr>
          <w:rFonts w:eastAsia="Batang"/>
          <w:b/>
          <w:bCs/>
        </w:rPr>
        <w:t>1</w:t>
      </w:r>
      <w:r>
        <w:rPr>
          <w:rFonts w:eastAsia="Batang" w:hint="eastAsia"/>
          <w:b/>
          <w:bCs/>
        </w:rPr>
        <w:t xml:space="preserve">: </w:t>
      </w:r>
      <w:r>
        <w:rPr>
          <w:rFonts w:hint="eastAsia"/>
          <w:b/>
          <w:bCs/>
        </w:rPr>
        <w:t xml:space="preserve">Based on the </w:t>
      </w:r>
      <w:r>
        <w:rPr>
          <w:rFonts w:eastAsia="Batang" w:hint="eastAsia"/>
          <w:b/>
          <w:bCs/>
        </w:rPr>
        <w:t xml:space="preserve">mobile-IAB cell type indication broadcast by a cell, UE may make sure </w:t>
      </w:r>
      <w:r>
        <w:rPr>
          <w:rFonts w:hint="eastAsia"/>
          <w:b/>
          <w:bCs/>
        </w:rPr>
        <w:t>that the cell is a mobile IAB cell. Then UE can further check the CAG ID</w:t>
      </w:r>
      <w:r>
        <w:rPr>
          <w:b/>
          <w:bCs/>
        </w:rPr>
        <w:t xml:space="preserve"> </w:t>
      </w:r>
      <w:r>
        <w:rPr>
          <w:rFonts w:hint="eastAsia"/>
          <w:b/>
          <w:bCs/>
        </w:rPr>
        <w:t>broadcast by the mobile IAB cell and</w:t>
      </w:r>
      <w:r>
        <w:rPr>
          <w:b/>
          <w:bCs/>
        </w:rPr>
        <w:t xml:space="preserve"> relative speed with the mobile IAB cell </w:t>
      </w:r>
      <w:r>
        <w:rPr>
          <w:rFonts w:hint="eastAsia"/>
          <w:b/>
          <w:bCs/>
        </w:rPr>
        <w:t xml:space="preserve">to determine whether it is </w:t>
      </w:r>
      <w:proofErr w:type="spellStart"/>
      <w:r>
        <w:rPr>
          <w:rFonts w:hint="eastAsia"/>
          <w:b/>
          <w:bCs/>
        </w:rPr>
        <w:t>onboard</w:t>
      </w:r>
      <w:proofErr w:type="spellEnd"/>
      <w:r>
        <w:rPr>
          <w:rFonts w:hint="eastAsia"/>
          <w:b/>
          <w:bCs/>
        </w:rPr>
        <w:t>.</w:t>
      </w:r>
    </w:p>
    <w:p w14:paraId="682A5576" w14:textId="0D4D2519" w:rsidR="00001CC3" w:rsidRPr="00227CA3" w:rsidRDefault="005713FB">
      <w:pPr>
        <w:widowControl w:val="0"/>
        <w:spacing w:beforeLines="50" w:before="156"/>
        <w:jc w:val="both"/>
        <w:rPr>
          <w:b/>
          <w:bCs/>
          <w:lang w:val="en-US" w:eastAsia="zh-CN"/>
        </w:rPr>
      </w:pPr>
      <w:r>
        <w:rPr>
          <w:rFonts w:hint="eastAsia"/>
          <w:b/>
        </w:rPr>
        <w:t>Proposal</w:t>
      </w:r>
      <w:r>
        <w:rPr>
          <w:b/>
        </w:rPr>
        <w:t xml:space="preserve"> 2:</w:t>
      </w:r>
      <w:r>
        <w:rPr>
          <w:b/>
          <w:bCs/>
        </w:rPr>
        <w:t xml:space="preserve"> </w:t>
      </w:r>
      <w:r>
        <w:rPr>
          <w:rFonts w:hint="eastAsia"/>
          <w:b/>
          <w:bCs/>
        </w:rPr>
        <w:t xml:space="preserve">If </w:t>
      </w:r>
      <w:r>
        <w:rPr>
          <w:b/>
          <w:bCs/>
        </w:rPr>
        <w:t xml:space="preserve">forbidden </w:t>
      </w:r>
      <w:r>
        <w:rPr>
          <w:rFonts w:hint="eastAsia"/>
          <w:b/>
          <w:bCs/>
        </w:rPr>
        <w:t>t</w:t>
      </w:r>
      <w:r>
        <w:rPr>
          <w:b/>
          <w:bCs/>
        </w:rPr>
        <w:t xml:space="preserve">racking </w:t>
      </w:r>
      <w:r>
        <w:rPr>
          <w:rFonts w:hint="eastAsia"/>
          <w:b/>
          <w:bCs/>
        </w:rPr>
        <w:t>a</w:t>
      </w:r>
      <w:r>
        <w:rPr>
          <w:b/>
          <w:bCs/>
        </w:rPr>
        <w:t>rea</w:t>
      </w:r>
      <w:r>
        <w:rPr>
          <w:rFonts w:hint="eastAsia"/>
          <w:b/>
          <w:bCs/>
        </w:rPr>
        <w:t xml:space="preserve"> mechanism is used for UE access control of mobile IAB cells, the dynamic TAC configuration of mobile IAB cell should take this into account</w:t>
      </w:r>
      <w:r>
        <w:rPr>
          <w:b/>
          <w:bCs/>
        </w:rPr>
        <w:t>.</w:t>
      </w:r>
    </w:p>
    <w:p w14:paraId="3B1D8F2C" w14:textId="771CE703" w:rsidR="00001CC3" w:rsidRDefault="005713FB">
      <w:pPr>
        <w:jc w:val="both"/>
        <w:rPr>
          <w:b/>
          <w:bCs/>
          <w:lang w:val="en-US" w:eastAsia="zh-CN"/>
        </w:rPr>
      </w:pPr>
      <w:r>
        <w:rPr>
          <w:rFonts w:hint="eastAsia"/>
          <w:b/>
          <w:bCs/>
        </w:rPr>
        <w:t xml:space="preserve">Proposal </w:t>
      </w:r>
      <w:r>
        <w:rPr>
          <w:b/>
          <w:bCs/>
        </w:rPr>
        <w:t>3</w:t>
      </w:r>
      <w:r>
        <w:rPr>
          <w:rFonts w:hint="eastAsia"/>
          <w:b/>
          <w:bCs/>
        </w:rPr>
        <w:t>: To avoid unnecessary inter-frequency measurement with high priority, UE camped on mobile IAB cell may regard the frequency which provide mobile IAB cell to be the highest priority. In addition, the relaxed RRM measurement may be enabled for UEs camped on the mobile IAB cells.</w:t>
      </w:r>
    </w:p>
    <w:p w14:paraId="780A55C2" w14:textId="6CA3CA69" w:rsidR="00001CC3" w:rsidRDefault="005713FB">
      <w:pPr>
        <w:jc w:val="both"/>
        <w:rPr>
          <w:b/>
          <w:bCs/>
          <w:lang w:val="en-US" w:eastAsia="zh-CN"/>
        </w:rPr>
      </w:pPr>
      <w:r>
        <w:rPr>
          <w:rFonts w:hint="eastAsia"/>
          <w:b/>
          <w:bCs/>
        </w:rPr>
        <w:t xml:space="preserve">Proposal </w:t>
      </w:r>
      <w:r>
        <w:rPr>
          <w:b/>
          <w:bCs/>
        </w:rPr>
        <w:t>4</w:t>
      </w:r>
      <w:r>
        <w:rPr>
          <w:rFonts w:hint="eastAsia"/>
          <w:b/>
          <w:bCs/>
        </w:rPr>
        <w:t>: Suppose the PCI/frequency of mobile IAB cell change due to collision avoidance, it is suggested to notify the camped UE with the potential change in advance and then the camped RRC_IDLE/INACTIVE UE re-select the cell with new PCI/frequency.</w:t>
      </w:r>
    </w:p>
    <w:p w14:paraId="6672085A" w14:textId="77777777" w:rsidR="00001CC3" w:rsidRDefault="003B3E68">
      <w:pPr>
        <w:pStyle w:val="1"/>
        <w:rPr>
          <w:rFonts w:eastAsia="宋体"/>
          <w:lang w:eastAsia="zh-CN"/>
        </w:rPr>
      </w:pPr>
      <w:r>
        <w:rPr>
          <w:rFonts w:eastAsia="宋体" w:hint="eastAsia"/>
          <w:lang w:eastAsia="zh-CN"/>
        </w:rPr>
        <w:lastRenderedPageBreak/>
        <w:t>Reference</w:t>
      </w:r>
    </w:p>
    <w:p w14:paraId="3FB7492D" w14:textId="609E6871" w:rsidR="00001CC3" w:rsidRDefault="003B3E68">
      <w:pPr>
        <w:numPr>
          <w:ilvl w:val="0"/>
          <w:numId w:val="14"/>
        </w:numPr>
        <w:rPr>
          <w:lang w:val="en-US" w:eastAsia="zh-CN"/>
        </w:rPr>
      </w:pPr>
      <w:r>
        <w:rPr>
          <w:rFonts w:hint="eastAsia"/>
          <w:lang w:val="en-US" w:eastAsia="zh-CN"/>
        </w:rPr>
        <w:t>RAN2#1</w:t>
      </w:r>
      <w:r w:rsidR="005713FB">
        <w:rPr>
          <w:lang w:val="en-US" w:eastAsia="zh-CN"/>
        </w:rPr>
        <w:t>20</w:t>
      </w:r>
      <w:bookmarkStart w:id="3" w:name="_GoBack"/>
      <w:bookmarkEnd w:id="3"/>
      <w:r>
        <w:rPr>
          <w:rFonts w:hint="eastAsia"/>
          <w:lang w:val="en-US" w:eastAsia="zh-CN"/>
        </w:rPr>
        <w:t xml:space="preserve"> Chairman notes.</w:t>
      </w:r>
    </w:p>
    <w:sectPr w:rsidR="00001CC3">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1DC75" w14:textId="77777777" w:rsidR="000D0162" w:rsidRDefault="000D0162">
      <w:pPr>
        <w:spacing w:after="0"/>
      </w:pPr>
      <w:r>
        <w:separator/>
      </w:r>
    </w:p>
  </w:endnote>
  <w:endnote w:type="continuationSeparator" w:id="0">
    <w:p w14:paraId="64DF873B" w14:textId="77777777" w:rsidR="000D0162" w:rsidRDefault="000D01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STIXTwoText">
    <w:altName w:val="微软雅黑"/>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96CE9" w14:textId="77777777" w:rsidR="00001CC3" w:rsidRDefault="003B3E68">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22BFC" w14:textId="77777777" w:rsidR="000D0162" w:rsidRDefault="000D0162">
      <w:pPr>
        <w:spacing w:after="0"/>
      </w:pPr>
      <w:r>
        <w:separator/>
      </w:r>
    </w:p>
  </w:footnote>
  <w:footnote w:type="continuationSeparator" w:id="0">
    <w:p w14:paraId="241092D1" w14:textId="77777777" w:rsidR="000D0162" w:rsidRDefault="000D01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4212C9"/>
    <w:multiLevelType w:val="singleLevel"/>
    <w:tmpl w:val="944212C9"/>
    <w:lvl w:ilvl="0">
      <w:start w:val="1"/>
      <w:numFmt w:val="decimal"/>
      <w:suff w:val="space"/>
      <w:lvlText w:val="[%1]"/>
      <w:lvlJc w:val="left"/>
    </w:lvl>
  </w:abstractNum>
  <w:abstractNum w:abstractNumId="1"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start w:val="1"/>
      <w:numFmt w:val="decimal"/>
      <w:pStyle w:val="3"/>
      <w:suff w:val="nothing"/>
      <w:lvlText w:val="%1.%2.%3  "/>
      <w:lvlJc w:val="left"/>
      <w:pPr>
        <w:ind w:left="2978" w:firstLine="0"/>
      </w:pPr>
      <w:rPr>
        <w:rFonts w:ascii="Arial" w:hAnsi="Arial"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3EB0F33"/>
    <w:multiLevelType w:val="hybridMultilevel"/>
    <w:tmpl w:val="1D1C1D0E"/>
    <w:lvl w:ilvl="0" w:tplc="04090001">
      <w:start w:val="1"/>
      <w:numFmt w:val="bullet"/>
      <w:lvlText w:val=""/>
      <w:lvlJc w:val="left"/>
      <w:pPr>
        <w:ind w:left="420" w:hanging="420"/>
      </w:pPr>
      <w:rPr>
        <w:rFonts w:ascii="Wingdings" w:hAnsi="Wingdings"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24A7491"/>
    <w:multiLevelType w:val="singleLevel"/>
    <w:tmpl w:val="724A7491"/>
    <w:lvl w:ilvl="0">
      <w:start w:val="1"/>
      <w:numFmt w:val="bullet"/>
      <w:lvlText w:val=""/>
      <w:lvlJc w:val="left"/>
      <w:pPr>
        <w:ind w:left="42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10"/>
  </w:num>
  <w:num w:numId="4">
    <w:abstractNumId w:val="6"/>
  </w:num>
  <w:num w:numId="5">
    <w:abstractNumId w:val="11"/>
  </w:num>
  <w:num w:numId="6">
    <w:abstractNumId w:val="8"/>
  </w:num>
  <w:num w:numId="7">
    <w:abstractNumId w:val="5"/>
  </w:num>
  <w:num w:numId="8">
    <w:abstractNumId w:val="14"/>
  </w:num>
  <w:num w:numId="9">
    <w:abstractNumId w:val="2"/>
  </w:num>
  <w:num w:numId="10">
    <w:abstractNumId w:val="12"/>
  </w:num>
  <w:num w:numId="11">
    <w:abstractNumId w:val="9"/>
  </w:num>
  <w:num w:numId="12">
    <w:abstractNumId w:val="7"/>
  </w:num>
  <w:num w:numId="13">
    <w:abstractNumId w:val="13"/>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3D3"/>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162"/>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5F02"/>
    <w:rsid w:val="000D5FA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C25"/>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776"/>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3DCE"/>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EB9"/>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27CA3"/>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9F4"/>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8D4"/>
    <w:rsid w:val="002B3EFA"/>
    <w:rsid w:val="002B4933"/>
    <w:rsid w:val="002B49AC"/>
    <w:rsid w:val="002B4A9F"/>
    <w:rsid w:val="002B4C2C"/>
    <w:rsid w:val="002B4FA8"/>
    <w:rsid w:val="002B53B9"/>
    <w:rsid w:val="002B54B1"/>
    <w:rsid w:val="002B565A"/>
    <w:rsid w:val="002B5700"/>
    <w:rsid w:val="002B579C"/>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0C7"/>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347"/>
    <w:rsid w:val="00436715"/>
    <w:rsid w:val="004367D9"/>
    <w:rsid w:val="00436F95"/>
    <w:rsid w:val="00437000"/>
    <w:rsid w:val="00437A99"/>
    <w:rsid w:val="00440408"/>
    <w:rsid w:val="004414A9"/>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7F0"/>
    <w:rsid w:val="004C2F20"/>
    <w:rsid w:val="004C302A"/>
    <w:rsid w:val="004C3132"/>
    <w:rsid w:val="004C361A"/>
    <w:rsid w:val="004C4F8C"/>
    <w:rsid w:val="004C4FA4"/>
    <w:rsid w:val="004C5480"/>
    <w:rsid w:val="004C5649"/>
    <w:rsid w:val="004C67C6"/>
    <w:rsid w:val="004C6DB3"/>
    <w:rsid w:val="004C6F3E"/>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3FB"/>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0A"/>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5C"/>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491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1EC8"/>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5EB0"/>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2F9A"/>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7E76B"/>
  <w15:docId w15:val="{20B975AD-CE12-45CD-8B8C-9D3BEF86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eastAsia="Malgun Gothic" w:hAnsi="Arial"/>
      <w:sz w:val="32"/>
    </w:rPr>
  </w:style>
  <w:style w:type="paragraph" w:styleId="2">
    <w:name w:val="heading 2"/>
    <w:basedOn w:val="1"/>
    <w:next w:val="a2"/>
    <w:link w:val="2Char"/>
    <w:qFormat/>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2"/>
    <w:link w:val="3Char"/>
    <w:qFormat/>
    <w:pPr>
      <w:numPr>
        <w:ilvl w:val="2"/>
      </w:numPr>
      <w:spacing w:before="120"/>
      <w:ind w:leftChars="0"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2"/>
    <w:qFormat/>
    <w:pPr>
      <w:ind w:left="851"/>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basedOn w:val="a2"/>
    <w:next w:val="a2"/>
    <w:semiHidden/>
    <w:qFormat/>
    <w:pPr>
      <w:keepNext/>
      <w:keepLines/>
      <w:widowControl w:val="0"/>
      <w:tabs>
        <w:tab w:val="right" w:leader="dot" w:pos="9639"/>
      </w:tabs>
      <w:spacing w:before="120"/>
      <w:ind w:left="567" w:right="425" w:hanging="567"/>
    </w:pPr>
    <w:rPr>
      <w:sz w:val="22"/>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6">
    <w:name w:val="List"/>
    <w:basedOn w:val="a2"/>
    <w:link w:val="Char"/>
    <w:qFormat/>
    <w:pPr>
      <w:ind w:left="704" w:hanging="420"/>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eastAsia="Malgun Gothic" w:hAnsi="Arial"/>
      <w:b/>
      <w:sz w:val="18"/>
    </w:rPr>
  </w:style>
  <w:style w:type="paragraph" w:styleId="af0">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af1">
    <w:name w:val="table of figures"/>
    <w:basedOn w:val="ac"/>
    <w:next w:val="a2"/>
    <w:uiPriority w:val="99"/>
    <w:qFormat/>
    <w:pPr>
      <w:tabs>
        <w:tab w:val="left" w:pos="811"/>
      </w:tabs>
      <w:spacing w:before="60"/>
      <w:ind w:left="811" w:hanging="811"/>
    </w:pPr>
  </w:style>
  <w:style w:type="paragraph" w:styleId="90">
    <w:name w:val="toc 9"/>
    <w:basedOn w:val="80"/>
    <w:next w:val="a2"/>
    <w:semiHidden/>
    <w:qFormat/>
    <w:pPr>
      <w:ind w:left="1418" w:hanging="1418"/>
    </w:pPr>
  </w:style>
  <w:style w:type="paragraph" w:styleId="af2">
    <w:name w:val="Normal (Web)"/>
    <w:basedOn w:val="a2"/>
    <w:uiPriority w:val="99"/>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uiPriority w:val="9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5">
    <w:name w:val="Strong"/>
    <w:qFormat/>
    <w:rPr>
      <w:b/>
    </w:rPr>
  </w:style>
  <w:style w:type="character" w:styleId="af6">
    <w:name w:val="FollowedHyperlink"/>
    <w:qFormat/>
    <w:rPr>
      <w:color w:val="800080"/>
      <w:u w:val="single"/>
    </w:rPr>
  </w:style>
  <w:style w:type="character" w:styleId="af7">
    <w:name w:val="Emphasis"/>
    <w:basedOn w:val="a3"/>
    <w:qFormat/>
    <w:rPr>
      <w:i/>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paragraph" w:customStyle="1" w:styleId="EW">
    <w:name w:val="EW"/>
    <w:basedOn w:val="EX"/>
    <w:qFormat/>
    <w:pPr>
      <w:spacing w:after="0"/>
    </w:pPr>
  </w:style>
  <w:style w:type="paragraph" w:customStyle="1" w:styleId="EX">
    <w:name w:val="EX"/>
    <w:basedOn w:val="a2"/>
    <w:qFormat/>
    <w:pPr>
      <w:keepLines/>
      <w:ind w:left="1702" w:hanging="1418"/>
    </w:pPr>
  </w:style>
  <w:style w:type="paragraph" w:customStyle="1" w:styleId="B5">
    <w:name w:val="B5"/>
    <w:basedOn w:val="51"/>
    <w:qFormat/>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20">
    <w:name w:val="编号2"/>
    <w:basedOn w:val="a2"/>
    <w:qFormat/>
    <w:pPr>
      <w:numPr>
        <w:numId w:val="4"/>
      </w:numPr>
      <w:tabs>
        <w:tab w:val="clear" w:pos="840"/>
        <w:tab w:val="left" w:pos="704"/>
      </w:tabs>
      <w:ind w:left="704" w:hanging="420"/>
    </w:pPr>
    <w:rPr>
      <w:lang w:eastAsia="zh-CN"/>
    </w:rPr>
  </w:style>
  <w:style w:type="paragraph" w:customStyle="1" w:styleId="PatentNumbering">
    <w:name w:val="Patent Numbering"/>
    <w:basedOn w:val="a2"/>
    <w:qFormat/>
    <w:pPr>
      <w:numPr>
        <w:numId w:val="5"/>
      </w:numPr>
      <w:spacing w:before="120" w:after="120" w:line="360" w:lineRule="auto"/>
      <w:jc w:val="both"/>
    </w:pPr>
    <w:rPr>
      <w:sz w:val="24"/>
      <w:lang w:val="en-US"/>
    </w:rPr>
  </w:style>
  <w:style w:type="paragraph" w:customStyle="1" w:styleId="Observation">
    <w:name w:val="Observation"/>
    <w:basedOn w:val="Proposal"/>
    <w:qFormat/>
    <w:pPr>
      <w:numPr>
        <w:numId w:val="6"/>
      </w:numPr>
      <w:ind w:left="1701" w:hanging="1701"/>
    </w:pPr>
  </w:style>
  <w:style w:type="paragraph" w:customStyle="1" w:styleId="Proposal">
    <w:name w:val="Proposal"/>
    <w:basedOn w:val="ac"/>
    <w:next w:val="a2"/>
    <w:qFormat/>
    <w:pPr>
      <w:numPr>
        <w:numId w:val="7"/>
      </w:numPr>
      <w:tabs>
        <w:tab w:val="left" w:pos="1701"/>
      </w:tabs>
    </w:pPr>
    <w:rPr>
      <w:b/>
      <w:bCs/>
    </w:rPr>
  </w:style>
  <w:style w:type="paragraph" w:customStyle="1" w:styleId="CharChar">
    <w:name w:val="Char Char"/>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tdoc-header">
    <w:name w:val="tdoc-header"/>
    <w:qFormat/>
    <w:rPr>
      <w:rFonts w:ascii="Arial" w:eastAsia="Malgun Gothic" w:hAnsi="Arial"/>
      <w:sz w:val="2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Doc-title">
    <w:name w:val="Doc-title"/>
    <w:basedOn w:val="a2"/>
    <w:next w:val="Doc-text2"/>
    <w:qFormat/>
    <w:pPr>
      <w:spacing w:before="60"/>
      <w:ind w:left="1259" w:hanging="1259"/>
    </w:p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paragraph" w:customStyle="1" w:styleId="40">
    <w:name w:val="标题4"/>
    <w:basedOn w:val="a2"/>
    <w:qFormat/>
    <w:pPr>
      <w:numPr>
        <w:numId w:val="9"/>
      </w:numPr>
    </w:pPr>
  </w:style>
  <w:style w:type="paragraph" w:customStyle="1" w:styleId="B7">
    <w:name w:val="B7"/>
    <w:basedOn w:val="B6"/>
    <w:qFormat/>
    <w:pPr>
      <w:ind w:left="2269"/>
    </w:pPr>
  </w:style>
  <w:style w:type="paragraph" w:customStyle="1" w:styleId="B6">
    <w:name w:val="B6"/>
    <w:basedOn w:val="B5"/>
    <w:qFormat/>
    <w:pPr>
      <w:overflowPunct w:val="0"/>
      <w:autoSpaceDE w:val="0"/>
      <w:autoSpaceDN w:val="0"/>
      <w:adjustRightInd w:val="0"/>
      <w:ind w:left="1985"/>
      <w:textAlignment w:val="baseline"/>
    </w:pPr>
    <w:rPr>
      <w:rFonts w:eastAsia="MS Mincho"/>
      <w:lang w:eastAsia="ja-JP"/>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TAH">
    <w:name w:val="TAH"/>
    <w:basedOn w:val="TAC"/>
    <w:link w:val="TAHCar"/>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Style78">
    <w:name w:val="_Style 78"/>
    <w:uiPriority w:val="99"/>
    <w:semiHidden/>
    <w:qFormat/>
    <w:rPr>
      <w:lang w:val="en-GB" w:eastAsia="en-US"/>
    </w:r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FP">
    <w:name w:val="FP"/>
    <w:basedOn w:val="a2"/>
    <w:qFormat/>
    <w:pPr>
      <w:spacing w:after="0"/>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TAR">
    <w:name w:val="TAR"/>
    <w:basedOn w:val="TAL"/>
    <w:qFormat/>
    <w:pPr>
      <w:jc w:val="right"/>
    </w:pPr>
  </w:style>
  <w:style w:type="paragraph" w:customStyle="1" w:styleId="CRCoverPage">
    <w:name w:val="CR Cover Page"/>
    <w:qFormat/>
    <w:pPr>
      <w:spacing w:after="120"/>
    </w:pPr>
    <w:rPr>
      <w:rFonts w:ascii="Arial" w:eastAsia="Malgun Gothic" w:hAnsi="Arial"/>
      <w:lang w:val="en-GB" w:eastAsia="en-US"/>
    </w:rPr>
  </w:style>
  <w:style w:type="paragraph" w:customStyle="1" w:styleId="B4">
    <w:name w:val="B4"/>
    <w:basedOn w:val="43"/>
    <w:link w:val="B4Char"/>
    <w:qFormat/>
  </w:style>
  <w:style w:type="paragraph" w:customStyle="1" w:styleId="MSMincho">
    <w:name w:val="样式 列表 + (西文) MS Mincho"/>
    <w:basedOn w:val="a6"/>
    <w:link w:val="MSMinchoChar"/>
    <w:qFormat/>
  </w:style>
  <w:style w:type="paragraph" w:customStyle="1" w:styleId="3GPPAgreements">
    <w:name w:val="3GPP Agreements"/>
    <w:basedOn w:val="a2"/>
    <w:link w:val="3GPPAgreementsChar"/>
    <w:qFormat/>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
    <w:name w:val="Char Char Char Char Char Char Char Char Char Char Char Char Char Char"/>
    <w:basedOn w:val="aa"/>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afc">
    <w:name w:val="样式 图表标题 + (中文) 宋体"/>
    <w:basedOn w:val="afb"/>
    <w:qFormat/>
    <w:rPr>
      <w:rFonts w:eastAsia="Arial"/>
    </w:rPr>
  </w:style>
  <w:style w:type="paragraph" w:customStyle="1" w:styleId="TAN">
    <w:name w:val="TAN"/>
    <w:basedOn w:val="TAL"/>
    <w:qFormat/>
    <w:pPr>
      <w:ind w:left="851" w:hanging="851"/>
    </w:pPr>
  </w:style>
  <w:style w:type="paragraph" w:customStyle="1" w:styleId="00BodyText">
    <w:name w:val="00 BodyText"/>
    <w:basedOn w:val="a2"/>
    <w:qFormat/>
    <w:pPr>
      <w:spacing w:after="220"/>
    </w:pPr>
    <w:rPr>
      <w:rFonts w:ascii="Arial" w:hAnsi="Arial"/>
      <w:sz w:val="22"/>
      <w:lang w:val="en-US"/>
    </w:rPr>
  </w:style>
  <w:style w:type="paragraph" w:customStyle="1" w:styleId="a0">
    <w:name w:val="表格题注"/>
    <w:basedOn w:val="a2"/>
    <w:qFormat/>
    <w:pPr>
      <w:numPr>
        <w:ilvl w:val="8"/>
        <w:numId w:val="1"/>
      </w:numPr>
    </w:pPr>
  </w:style>
  <w:style w:type="paragraph" w:customStyle="1" w:styleId="d2035">
    <w:name w:val="样式 正文缩进d + 首行缩进:  2 字符 段前: 0.35 行"/>
    <w:basedOn w:val="a7"/>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afd">
    <w:name w:val="List Paragraph"/>
    <w:basedOn w:val="a2"/>
    <w:link w:val="Char3"/>
    <w:uiPriority w:val="34"/>
    <w:qFormat/>
    <w:pPr>
      <w:spacing w:after="0"/>
      <w:ind w:firstLineChars="200" w:firstLine="420"/>
    </w:pPr>
    <w:rPr>
      <w:sz w:val="24"/>
      <w:szCs w:val="24"/>
      <w:lang w:val="en-US" w:eastAsia="zh-CN"/>
    </w:rPr>
  </w:style>
  <w:style w:type="paragraph" w:customStyle="1" w:styleId="a">
    <w:name w:val="插图题注"/>
    <w:basedOn w:val="a2"/>
    <w:qFormat/>
    <w:pPr>
      <w:numPr>
        <w:ilvl w:val="7"/>
        <w:numId w:val="1"/>
      </w:numPr>
    </w:pPr>
  </w:style>
  <w:style w:type="paragraph" w:customStyle="1" w:styleId="Agreement">
    <w:name w:val="Agreement"/>
    <w:basedOn w:val="a2"/>
    <w:next w:val="Doc-text2"/>
    <w:qFormat/>
    <w:pPr>
      <w:numPr>
        <w:numId w:val="10"/>
      </w:numPr>
      <w:spacing w:after="0"/>
    </w:pPr>
    <w:rPr>
      <w:rFonts w:eastAsia="MS Mincho"/>
      <w:b/>
      <w:szCs w:val="24"/>
      <w:lang w:eastAsia="en-GB"/>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references">
    <w:name w:val="references"/>
    <w:uiPriority w:val="99"/>
    <w:qFormat/>
    <w:pPr>
      <w:numPr>
        <w:numId w:val="11"/>
      </w:numPr>
      <w:spacing w:after="50" w:line="180" w:lineRule="exact"/>
      <w:jc w:val="both"/>
    </w:pPr>
    <w:rPr>
      <w:rFonts w:eastAsia="Malgun Gothic"/>
      <w:sz w:val="16"/>
      <w:szCs w:val="16"/>
      <w:lang w:eastAsia="en-US"/>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MTDisplayEquation">
    <w:name w:val="MTDisplayEquation"/>
    <w:basedOn w:val="a2"/>
    <w:qFormat/>
    <w:pPr>
      <w:tabs>
        <w:tab w:val="center" w:pos="4820"/>
        <w:tab w:val="right" w:pos="9640"/>
      </w:tabs>
    </w:pPr>
    <w:rPr>
      <w:lang w:val="en-US"/>
    </w:rPr>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sz w:val="22"/>
      <w:lang w:val="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tAppBody">
    <w:name w:val="PatApp Body"/>
    <w:basedOn w:val="a2"/>
    <w:qFormat/>
    <w:pPr>
      <w:tabs>
        <w:tab w:val="left" w:pos="1080"/>
      </w:tabs>
      <w:spacing w:line="480" w:lineRule="auto"/>
    </w:pPr>
    <w:rPr>
      <w:sz w:val="24"/>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paragraph" w:customStyle="1" w:styleId="12">
    <w:name w:val="样式1"/>
    <w:basedOn w:val="a2"/>
    <w:qFormat/>
  </w:style>
  <w:style w:type="paragraph" w:customStyle="1" w:styleId="EQ">
    <w:name w:val="EQ"/>
    <w:basedOn w:val="a2"/>
    <w:next w:val="a2"/>
    <w:qFormat/>
    <w:pPr>
      <w:keepLines/>
      <w:tabs>
        <w:tab w:val="center" w:pos="4536"/>
        <w:tab w:val="right" w:pos="9072"/>
      </w:tabs>
    </w:pPr>
  </w:style>
  <w:style w:type="paragraph" w:customStyle="1" w:styleId="B1">
    <w:name w:val="B1"/>
    <w:basedOn w:val="a6"/>
    <w:link w:val="B1Char1"/>
    <w:qFormat/>
    <w:pPr>
      <w:ind w:left="568" w:hanging="284"/>
    </w:pPr>
    <w:rPr>
      <w:rFonts w:eastAsia="MS Mincho"/>
      <w:lang w:eastAsia="ja-JP"/>
    </w:rPr>
  </w:style>
  <w:style w:type="paragraph" w:customStyle="1" w:styleId="13">
    <w:name w:val="列出段落1"/>
    <w:basedOn w:val="a2"/>
    <w:uiPriority w:val="34"/>
    <w:qFormat/>
    <w:pPr>
      <w:widowControl w:val="0"/>
      <w:spacing w:after="0"/>
      <w:ind w:left="720"/>
    </w:pPr>
    <w:rPr>
      <w:rFonts w:ascii="Calibri" w:hAnsi="Calibri" w:cs="Calibri"/>
      <w:kern w:val="2"/>
      <w:sz w:val="21"/>
      <w:szCs w:val="24"/>
      <w:lang w:val="en-US" w:eastAsia="zh-CN"/>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paragraph" w:customStyle="1" w:styleId="EditorsNote">
    <w:name w:val="Editor's Note"/>
    <w:basedOn w:val="NO"/>
    <w:link w:val="EditorsNoteChar"/>
    <w:qFormat/>
    <w:rPr>
      <w:color w:val="FF0000"/>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B3">
    <w:name w:val="B3"/>
    <w:basedOn w:val="30"/>
    <w:qFormat/>
  </w:style>
  <w:style w:type="character" w:customStyle="1" w:styleId="afe">
    <w:name w:val="样式 宋体 蓝色"/>
    <w:qFormat/>
    <w:rPr>
      <w:rFonts w:ascii="Times New Roman" w:eastAsia="宋体" w:hAnsi="Times New Roman"/>
      <w:color w:val="0000FF"/>
    </w:rPr>
  </w:style>
  <w:style w:type="character" w:customStyle="1" w:styleId="TFChar">
    <w:name w:val="TF Char"/>
    <w:link w:val="TF"/>
    <w:qFormat/>
    <w:rPr>
      <w:rFonts w:ascii="Arial" w:eastAsia="宋体" w:hAnsi="Arial"/>
      <w:b/>
      <w:lang w:val="en-GB" w:eastAsia="en-US"/>
    </w:rPr>
  </w:style>
  <w:style w:type="character" w:customStyle="1" w:styleId="NOZchn">
    <w:name w:val="NO Zchn"/>
    <w:qFormat/>
  </w:style>
  <w:style w:type="character" w:customStyle="1" w:styleId="ZGSM">
    <w:name w:val="ZGSM"/>
    <w:qFormat/>
  </w:style>
  <w:style w:type="character" w:customStyle="1" w:styleId="EditorsNoteChar">
    <w:name w:val="Editor's Note Char"/>
    <w:link w:val="EditorsNote"/>
    <w:qFormat/>
    <w:rPr>
      <w:color w:val="FF0000"/>
      <w:lang w:val="en-GB" w:eastAsia="en-US" w:bidi="ar-SA"/>
    </w:rPr>
  </w:style>
  <w:style w:type="character" w:customStyle="1" w:styleId="THChar">
    <w:name w:val="TH Char"/>
    <w:link w:val="TH"/>
    <w:qFormat/>
    <w:rPr>
      <w:rFonts w:ascii="Arial" w:eastAsia="宋体" w:hAnsi="Arial"/>
      <w:b/>
      <w:lang w:val="en-GB" w:eastAsia="en-US" w:bidi="ar-SA"/>
    </w:rPr>
  </w:style>
  <w:style w:type="character" w:customStyle="1" w:styleId="Char">
    <w:name w:val="列表 Char"/>
    <w:link w:val="a6"/>
    <w:qFormat/>
    <w:rPr>
      <w:rFonts w:eastAsia="宋体"/>
      <w:lang w:val="en-GB" w:eastAsia="en-US" w:bidi="ar-SA"/>
    </w:rPr>
  </w:style>
  <w:style w:type="character" w:customStyle="1" w:styleId="Char2">
    <w:name w:val="页眉 Char"/>
    <w:link w:val="af"/>
    <w:uiPriority w:val="99"/>
    <w:qFormat/>
    <w:rPr>
      <w:rFonts w:ascii="Arial" w:hAnsi="Arial"/>
      <w:b/>
      <w:sz w:val="18"/>
      <w:lang w:val="en-GB" w:eastAsia="en-US" w:bidi="ar-SA"/>
    </w:rPr>
  </w:style>
  <w:style w:type="character" w:customStyle="1" w:styleId="yinbiao">
    <w:name w:val="yinbiao"/>
    <w:basedOn w:val="a3"/>
    <w:qFormat/>
  </w:style>
  <w:style w:type="character" w:customStyle="1" w:styleId="B4Char">
    <w:name w:val="B4 Char"/>
    <w:link w:val="B4"/>
    <w:qFormat/>
    <w:rPr>
      <w:lang w:val="en-GB" w:eastAsia="en-US" w:bidi="ar-SA"/>
    </w:rPr>
  </w:style>
  <w:style w:type="character" w:customStyle="1" w:styleId="Doc-text2Char">
    <w:name w:val="Doc-text2 Char"/>
    <w:link w:val="Doc-text2"/>
    <w:qFormat/>
    <w:rPr>
      <w:rFonts w:ascii="Arial" w:hAnsi="Arial"/>
      <w:szCs w:val="24"/>
      <w:lang w:val="en-GB" w:eastAsia="en-GB"/>
    </w:rPr>
  </w:style>
  <w:style w:type="character" w:customStyle="1" w:styleId="MSMinchoChar">
    <w:name w:val="样式 列表 + (西文) MS Mincho Char"/>
    <w:basedOn w:val="Char"/>
    <w:link w:val="MSMincho"/>
    <w:qFormat/>
    <w:rPr>
      <w:rFonts w:eastAsia="宋体"/>
      <w:lang w:val="en-GB" w:eastAsia="en-US" w:bidi="ar-SA"/>
    </w:rPr>
  </w:style>
  <w:style w:type="character" w:customStyle="1" w:styleId="TAHChar">
    <w:name w:val="TAH Char"/>
    <w:qFormat/>
    <w:rPr>
      <w:rFonts w:ascii="Arial" w:hAnsi="Arial"/>
      <w:b/>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Char1">
    <w:name w:val="正文文本 Char"/>
    <w:link w:val="ac"/>
    <w:qFormat/>
    <w:rPr>
      <w:lang w:val="en-GB" w:eastAsia="en-US"/>
    </w:rPr>
  </w:style>
  <w:style w:type="character" w:customStyle="1" w:styleId="TALChar">
    <w:name w:val="TAL Char"/>
    <w:qFormat/>
    <w:rPr>
      <w:rFonts w:ascii="Arial" w:eastAsia="宋体" w:hAnsi="Arial"/>
      <w:sz w:val="18"/>
      <w:lang w:val="en-GB" w:eastAsia="en-GB"/>
    </w:rPr>
  </w:style>
  <w:style w:type="character" w:customStyle="1" w:styleId="msoins0">
    <w:name w:val="msoins"/>
    <w:qFormat/>
  </w:style>
  <w:style w:type="character" w:customStyle="1" w:styleId="TAHCar">
    <w:name w:val="TAH Car"/>
    <w:link w:val="TAH"/>
    <w:qFormat/>
    <w:locked/>
    <w:rPr>
      <w:rFonts w:ascii="Arial" w:eastAsia="宋体" w:hAnsi="Arial"/>
      <w:b/>
      <w:sz w:val="18"/>
      <w:lang w:val="en-GB" w:eastAsia="en-US"/>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TALCar">
    <w:name w:val="TAL Car"/>
    <w:link w:val="TAL"/>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B2Car">
    <w:name w:val="B2 Car"/>
    <w:qFormat/>
    <w:rPr>
      <w:rFonts w:eastAsia="Times New Roman"/>
    </w:rPr>
  </w:style>
  <w:style w:type="character" w:customStyle="1" w:styleId="Char3">
    <w:name w:val="列出段落 Char"/>
    <w:link w:val="afd"/>
    <w:uiPriority w:val="34"/>
    <w:qFormat/>
    <w:rPr>
      <w:rFonts w:eastAsia="宋体"/>
      <w:sz w:val="24"/>
      <w:szCs w:val="24"/>
    </w:rPr>
  </w:style>
  <w:style w:type="character" w:customStyle="1" w:styleId="1Char">
    <w:name w:val="标题 1 Char"/>
    <w:link w:val="1"/>
    <w:qFormat/>
    <w:rPr>
      <w:rFonts w:ascii="Arial" w:hAnsi="Arial"/>
      <w:sz w:val="32"/>
      <w:lang w:val="en-GB" w:eastAsia="en-US"/>
    </w:rPr>
  </w:style>
  <w:style w:type="character" w:customStyle="1" w:styleId="3Char">
    <w:name w:val="标题 3 Char"/>
    <w:link w:val="3"/>
    <w:qFormat/>
    <w:rPr>
      <w:sz w:val="24"/>
    </w:rPr>
  </w:style>
  <w:style w:type="character" w:customStyle="1" w:styleId="3GPPTextChar">
    <w:name w:val="3GPP Text Char"/>
    <w:link w:val="3GPPText"/>
    <w:qFormat/>
    <w:rPr>
      <w:rFonts w:eastAsia="宋体"/>
      <w:sz w:val="22"/>
      <w:lang w:eastAsia="en-US"/>
    </w:rPr>
  </w:style>
  <w:style w:type="character" w:customStyle="1" w:styleId="3GPPAgreementsChar">
    <w:name w:val="3GPP Agreements Char"/>
    <w:link w:val="3GPPAgreements"/>
    <w:qFormat/>
    <w:rPr>
      <w:rFonts w:eastAsia="宋体"/>
      <w:sz w:val="22"/>
      <w:szCs w:val="22"/>
    </w:rPr>
  </w:style>
  <w:style w:type="character" w:customStyle="1" w:styleId="B2Char">
    <w:name w:val="B2 Char"/>
    <w:link w:val="B2"/>
    <w:qFormat/>
    <w:rPr>
      <w:rFonts w:eastAsia="宋体"/>
      <w:lang w:val="en-GB" w:eastAsia="ja-JP"/>
    </w:rPr>
  </w:style>
  <w:style w:type="character" w:customStyle="1" w:styleId="PLChar">
    <w:name w:val="PL Char"/>
    <w:link w:val="PL"/>
    <w:qFormat/>
    <w:rPr>
      <w:rFonts w:ascii="Courier New" w:hAnsi="Courier New"/>
      <w:sz w:val="16"/>
      <w:lang w:val="en-GB" w:eastAsia="en-US" w:bidi="ar-SA"/>
    </w:rPr>
  </w:style>
  <w:style w:type="character" w:customStyle="1" w:styleId="Char0">
    <w:name w:val="批注文字 Char"/>
    <w:link w:val="ab"/>
    <w:qFormat/>
    <w:rPr>
      <w:rFonts w:eastAsia="宋体"/>
      <w:lang w:val="en-GB" w:eastAsia="en-US"/>
    </w:rPr>
  </w:style>
  <w:style w:type="character" w:customStyle="1" w:styleId="aff">
    <w:name w:val="首标题"/>
    <w:qFormat/>
    <w:rPr>
      <w:rFonts w:ascii="Arial" w:eastAsia="宋体" w:hAnsi="Arial"/>
      <w:sz w:val="24"/>
    </w:rPr>
  </w:style>
  <w:style w:type="character" w:customStyle="1" w:styleId="B1Char1">
    <w:name w:val="B1 Char1"/>
    <w:link w:val="B1"/>
    <w:qFormat/>
    <w:rPr>
      <w:rFonts w:eastAsia="MS Mincho"/>
      <w:lang w:val="en-GB" w:eastAsia="ja-JP" w:bidi="ar-SA"/>
    </w:rPr>
  </w:style>
  <w:style w:type="character" w:customStyle="1" w:styleId="2Char">
    <w:name w:val="标题 2 Char"/>
    <w:link w:val="2"/>
    <w:qFormat/>
    <w:rPr>
      <w:rFonts w:ascii="Arial" w:hAnsi="Arial"/>
      <w:sz w:val="28"/>
      <w:lang w:val="en-GB" w:eastAsia="en-US"/>
    </w:rPr>
  </w:style>
  <w:style w:type="character" w:customStyle="1" w:styleId="B1Char">
    <w:name w:val="B1 Char"/>
    <w:qFormat/>
    <w:rPr>
      <w:lang w:val="en-GB"/>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Default">
    <w:name w:val="Default"/>
    <w:uiPriority w:val="99"/>
    <w:unhideWhenUsed/>
    <w:qFormat/>
    <w:pPr>
      <w:widowControl w:val="0"/>
      <w:autoSpaceDE w:val="0"/>
      <w:autoSpaceDN w:val="0"/>
      <w:adjustRightInd w:val="0"/>
    </w:pPr>
    <w:rPr>
      <w:rFonts w:ascii="Calibri" w:eastAsia="Calibri" w:hAnsi="Calibri"/>
      <w:color w:val="000000"/>
      <w:sz w:val="24"/>
    </w:rPr>
  </w:style>
  <w:style w:type="paragraph" w:customStyle="1" w:styleId="14">
    <w:name w:val="正文1"/>
    <w:rsid w:val="0022680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981926">
      <w:bodyDiv w:val="1"/>
      <w:marLeft w:val="0"/>
      <w:marRight w:val="0"/>
      <w:marTop w:val="0"/>
      <w:marBottom w:val="0"/>
      <w:divBdr>
        <w:top w:val="none" w:sz="0" w:space="0" w:color="auto"/>
        <w:left w:val="none" w:sz="0" w:space="0" w:color="auto"/>
        <w:bottom w:val="none" w:sz="0" w:space="0" w:color="auto"/>
        <w:right w:val="none" w:sz="0" w:space="0" w:color="auto"/>
      </w:divBdr>
    </w:div>
    <w:div w:id="588393859">
      <w:bodyDiv w:val="1"/>
      <w:marLeft w:val="0"/>
      <w:marRight w:val="0"/>
      <w:marTop w:val="0"/>
      <w:marBottom w:val="0"/>
      <w:divBdr>
        <w:top w:val="none" w:sz="0" w:space="0" w:color="auto"/>
        <w:left w:val="none" w:sz="0" w:space="0" w:color="auto"/>
        <w:bottom w:val="none" w:sz="0" w:space="0" w:color="auto"/>
        <w:right w:val="none" w:sz="0" w:space="0" w:color="auto"/>
      </w:divBdr>
    </w:div>
    <w:div w:id="604924096">
      <w:bodyDiv w:val="1"/>
      <w:marLeft w:val="0"/>
      <w:marRight w:val="0"/>
      <w:marTop w:val="0"/>
      <w:marBottom w:val="0"/>
      <w:divBdr>
        <w:top w:val="none" w:sz="0" w:space="0" w:color="auto"/>
        <w:left w:val="none" w:sz="0" w:space="0" w:color="auto"/>
        <w:bottom w:val="none" w:sz="0" w:space="0" w:color="auto"/>
        <w:right w:val="none" w:sz="0" w:space="0" w:color="auto"/>
      </w:divBdr>
    </w:div>
    <w:div w:id="692924249">
      <w:bodyDiv w:val="1"/>
      <w:marLeft w:val="0"/>
      <w:marRight w:val="0"/>
      <w:marTop w:val="0"/>
      <w:marBottom w:val="0"/>
      <w:divBdr>
        <w:top w:val="none" w:sz="0" w:space="0" w:color="auto"/>
        <w:left w:val="none" w:sz="0" w:space="0" w:color="auto"/>
        <w:bottom w:val="none" w:sz="0" w:space="0" w:color="auto"/>
        <w:right w:val="none" w:sz="0" w:space="0" w:color="auto"/>
      </w:divBdr>
    </w:div>
    <w:div w:id="739399837">
      <w:bodyDiv w:val="1"/>
      <w:marLeft w:val="0"/>
      <w:marRight w:val="0"/>
      <w:marTop w:val="0"/>
      <w:marBottom w:val="0"/>
      <w:divBdr>
        <w:top w:val="none" w:sz="0" w:space="0" w:color="auto"/>
        <w:left w:val="none" w:sz="0" w:space="0" w:color="auto"/>
        <w:bottom w:val="none" w:sz="0" w:space="0" w:color="auto"/>
        <w:right w:val="none" w:sz="0" w:space="0" w:color="auto"/>
      </w:divBdr>
    </w:div>
    <w:div w:id="924414143">
      <w:bodyDiv w:val="1"/>
      <w:marLeft w:val="0"/>
      <w:marRight w:val="0"/>
      <w:marTop w:val="0"/>
      <w:marBottom w:val="0"/>
      <w:divBdr>
        <w:top w:val="none" w:sz="0" w:space="0" w:color="auto"/>
        <w:left w:val="none" w:sz="0" w:space="0" w:color="auto"/>
        <w:bottom w:val="none" w:sz="0" w:space="0" w:color="auto"/>
        <w:right w:val="none" w:sz="0" w:space="0" w:color="auto"/>
      </w:divBdr>
    </w:div>
    <w:div w:id="1025014740">
      <w:bodyDiv w:val="1"/>
      <w:marLeft w:val="0"/>
      <w:marRight w:val="0"/>
      <w:marTop w:val="0"/>
      <w:marBottom w:val="0"/>
      <w:divBdr>
        <w:top w:val="none" w:sz="0" w:space="0" w:color="auto"/>
        <w:left w:val="none" w:sz="0" w:space="0" w:color="auto"/>
        <w:bottom w:val="none" w:sz="0" w:space="0" w:color="auto"/>
        <w:right w:val="none" w:sz="0" w:space="0" w:color="auto"/>
      </w:divBdr>
    </w:div>
    <w:div w:id="1151403855">
      <w:bodyDiv w:val="1"/>
      <w:marLeft w:val="0"/>
      <w:marRight w:val="0"/>
      <w:marTop w:val="0"/>
      <w:marBottom w:val="0"/>
      <w:divBdr>
        <w:top w:val="none" w:sz="0" w:space="0" w:color="auto"/>
        <w:left w:val="none" w:sz="0" w:space="0" w:color="auto"/>
        <w:bottom w:val="none" w:sz="0" w:space="0" w:color="auto"/>
        <w:right w:val="none" w:sz="0" w:space="0" w:color="auto"/>
      </w:divBdr>
    </w:div>
    <w:div w:id="1212300641">
      <w:bodyDiv w:val="1"/>
      <w:marLeft w:val="0"/>
      <w:marRight w:val="0"/>
      <w:marTop w:val="0"/>
      <w:marBottom w:val="0"/>
      <w:divBdr>
        <w:top w:val="none" w:sz="0" w:space="0" w:color="auto"/>
        <w:left w:val="none" w:sz="0" w:space="0" w:color="auto"/>
        <w:bottom w:val="none" w:sz="0" w:space="0" w:color="auto"/>
        <w:right w:val="none" w:sz="0" w:space="0" w:color="auto"/>
      </w:divBdr>
    </w:div>
    <w:div w:id="1328634501">
      <w:bodyDiv w:val="1"/>
      <w:marLeft w:val="0"/>
      <w:marRight w:val="0"/>
      <w:marTop w:val="0"/>
      <w:marBottom w:val="0"/>
      <w:divBdr>
        <w:top w:val="none" w:sz="0" w:space="0" w:color="auto"/>
        <w:left w:val="none" w:sz="0" w:space="0" w:color="auto"/>
        <w:bottom w:val="none" w:sz="0" w:space="0" w:color="auto"/>
        <w:right w:val="none" w:sz="0" w:space="0" w:color="auto"/>
      </w:divBdr>
    </w:div>
    <w:div w:id="1369330942">
      <w:bodyDiv w:val="1"/>
      <w:marLeft w:val="0"/>
      <w:marRight w:val="0"/>
      <w:marTop w:val="0"/>
      <w:marBottom w:val="0"/>
      <w:divBdr>
        <w:top w:val="none" w:sz="0" w:space="0" w:color="auto"/>
        <w:left w:val="none" w:sz="0" w:space="0" w:color="auto"/>
        <w:bottom w:val="none" w:sz="0" w:space="0" w:color="auto"/>
        <w:right w:val="none" w:sz="0" w:space="0" w:color="auto"/>
      </w:divBdr>
    </w:div>
    <w:div w:id="1543396511">
      <w:bodyDiv w:val="1"/>
      <w:marLeft w:val="0"/>
      <w:marRight w:val="0"/>
      <w:marTop w:val="0"/>
      <w:marBottom w:val="0"/>
      <w:divBdr>
        <w:top w:val="none" w:sz="0" w:space="0" w:color="auto"/>
        <w:left w:val="none" w:sz="0" w:space="0" w:color="auto"/>
        <w:bottom w:val="none" w:sz="0" w:space="0" w:color="auto"/>
        <w:right w:val="none" w:sz="0" w:space="0" w:color="auto"/>
      </w:divBdr>
    </w:div>
    <w:div w:id="1601719274">
      <w:bodyDiv w:val="1"/>
      <w:marLeft w:val="0"/>
      <w:marRight w:val="0"/>
      <w:marTop w:val="0"/>
      <w:marBottom w:val="0"/>
      <w:divBdr>
        <w:top w:val="none" w:sz="0" w:space="0" w:color="auto"/>
        <w:left w:val="none" w:sz="0" w:space="0" w:color="auto"/>
        <w:bottom w:val="none" w:sz="0" w:space="0" w:color="auto"/>
        <w:right w:val="none" w:sz="0" w:space="0" w:color="auto"/>
      </w:divBdr>
    </w:div>
    <w:div w:id="1809973811">
      <w:bodyDiv w:val="1"/>
      <w:marLeft w:val="0"/>
      <w:marRight w:val="0"/>
      <w:marTop w:val="0"/>
      <w:marBottom w:val="0"/>
      <w:divBdr>
        <w:top w:val="none" w:sz="0" w:space="0" w:color="auto"/>
        <w:left w:val="none" w:sz="0" w:space="0" w:color="auto"/>
        <w:bottom w:val="none" w:sz="0" w:space="0" w:color="auto"/>
        <w:right w:val="none" w:sz="0" w:space="0" w:color="auto"/>
      </w:divBdr>
    </w:div>
    <w:div w:id="1970356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5</Pages>
  <Words>1938</Words>
  <Characters>11051</Characters>
  <Application>Microsoft Office Word</Application>
  <DocSecurity>0</DocSecurity>
  <Lines>92</Lines>
  <Paragraphs>25</Paragraphs>
  <ScaleCrop>false</ScaleCrop>
  <Company>ZTE</Company>
  <LinksUpToDate>false</LinksUpToDate>
  <CharactersWithSpaces>12964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89</cp:revision>
  <cp:lastPrinted>2009-04-22T01:01:00Z</cp:lastPrinted>
  <dcterms:created xsi:type="dcterms:W3CDTF">2018-09-05T03:13:00Z</dcterms:created>
  <dcterms:modified xsi:type="dcterms:W3CDTF">2023-02-17T06:03:00Z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